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ED" w:rsidRPr="002F4E9A" w:rsidRDefault="00C15B99" w:rsidP="00B747ED">
      <w:pPr>
        <w:pStyle w:val="Titre5"/>
        <w:rPr>
          <w:color w:val="00A4B7" w:themeColor="accent1"/>
        </w:rPr>
      </w:pPr>
      <w:bookmarkStart w:id="0" w:name="_GoBack"/>
      <w:bookmarkEnd w:id="0"/>
      <w:r>
        <w:rPr>
          <w:color w:val="00A4B7" w:themeColor="accent1"/>
        </w:rPr>
        <w:t>LETTRE DE COMMANDE SI STANDSTILL</w:t>
      </w:r>
    </w:p>
    <w:p w:rsidR="00B747ED" w:rsidRPr="00B747ED" w:rsidRDefault="00B747ED" w:rsidP="00B747ED"/>
    <w:p w:rsidR="00B747ED" w:rsidRDefault="00B747ED" w:rsidP="00B747ED">
      <w:pPr>
        <w:jc w:val="right"/>
        <w:rPr>
          <w:rFonts w:ascii="Century Gothic" w:hAnsi="Century Gothic"/>
        </w:rPr>
      </w:pPr>
    </w:p>
    <w:p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Bruxelles, le </w:t>
      </w:r>
      <w:r w:rsidRPr="00B63D15">
        <w:rPr>
          <w:rFonts w:ascii="Century Gothic" w:hAnsi="Century Gothic"/>
          <w:i/>
          <w:color w:val="00A4B7" w:themeColor="accent1"/>
        </w:rPr>
        <w:t>(jour, mois, année)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PAR FAX OU COURRIEL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ET ENVOI RECOMMANDE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Madame, Monsieur,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2D0138" w:rsidRDefault="00B747ED" w:rsidP="00B747ED">
      <w:pPr>
        <w:jc w:val="both"/>
        <w:rPr>
          <w:rFonts w:ascii="Century Gothic" w:hAnsi="Century Gothic"/>
        </w:rPr>
      </w:pPr>
    </w:p>
    <w:p w:rsidR="00B747ED" w:rsidRPr="00B63D15" w:rsidRDefault="00B747ED" w:rsidP="00B747ED">
      <w:pPr>
        <w:ind w:left="851" w:hanging="851"/>
        <w:rPr>
          <w:color w:val="00A4B7" w:themeColor="accent1"/>
        </w:rPr>
      </w:pPr>
      <w:r w:rsidRPr="00374E72">
        <w:rPr>
          <w:rFonts w:ascii="Century Gothic" w:hAnsi="Century Gothic"/>
          <w:b/>
        </w:rPr>
        <w:t>Objet</w:t>
      </w:r>
      <w:r>
        <w:t xml:space="preserve"> : </w:t>
      </w:r>
      <w:r>
        <w:tab/>
      </w:r>
      <w:r w:rsidR="002F4E9A">
        <w:rPr>
          <w:rFonts w:ascii="Century Gothic" w:hAnsi="Century Gothic"/>
        </w:rPr>
        <w:t>Procédure ouverte du</w:t>
      </w:r>
      <w:r w:rsidRPr="00F43525">
        <w:rPr>
          <w:rFonts w:ascii="Century Gothic" w:hAnsi="Century Gothic"/>
          <w:color w:val="00A4B7" w:themeColor="accent1"/>
        </w:rPr>
        <w:t xml:space="preserve"> </w:t>
      </w:r>
      <w:r w:rsidRPr="00B63D15">
        <w:rPr>
          <w:rFonts w:ascii="Century Gothic" w:hAnsi="Century Gothic"/>
          <w:i/>
          <w:color w:val="00A4B7" w:themeColor="accent1"/>
        </w:rPr>
        <w:t>(date limite de dépôt des offres)</w:t>
      </w:r>
    </w:p>
    <w:p w:rsidR="00B747ED" w:rsidRDefault="00B747ED" w:rsidP="00B747ED">
      <w:pPr>
        <w:ind w:left="851"/>
      </w:pPr>
      <w:r w:rsidRPr="00490A58">
        <w:rPr>
          <w:rFonts w:ascii="Century Gothic" w:hAnsi="Century Gothic"/>
        </w:rPr>
        <w:t xml:space="preserve">Travaux de </w:t>
      </w:r>
      <w:r w:rsidR="002F4E9A" w:rsidRPr="00B63D15">
        <w:rPr>
          <w:rFonts w:ascii="Century Gothic" w:hAnsi="Century Gothic"/>
          <w:i/>
          <w:color w:val="00A4B7" w:themeColor="accent1"/>
        </w:rPr>
        <w:t>(nature des travaux et adresse)</w:t>
      </w:r>
    </w:p>
    <w:p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Chantier n° </w:t>
      </w:r>
      <w:r w:rsidR="002F4E9A" w:rsidRPr="00B63D15">
        <w:rPr>
          <w:rFonts w:ascii="Century Gothic" w:hAnsi="Century Gothic"/>
          <w:i/>
          <w:color w:val="00A4B7" w:themeColor="accent1"/>
        </w:rPr>
        <w:t>(numéro de chantier)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bookmarkStart w:id="1" w:name="_Toc431307712"/>
      <w:bookmarkStart w:id="2" w:name="_Toc431802663"/>
      <w:bookmarkStart w:id="3" w:name="_Toc431802820"/>
      <w:bookmarkStart w:id="4" w:name="_Toc431811186"/>
      <w:bookmarkStart w:id="5" w:name="_Toc431811808"/>
      <w:bookmarkStart w:id="6" w:name="_Toc431812154"/>
      <w:bookmarkStart w:id="7" w:name="_Toc431812313"/>
      <w:bookmarkStart w:id="8" w:name="_Toc431821417"/>
      <w:bookmarkStart w:id="9" w:name="_Toc431823442"/>
      <w:bookmarkStart w:id="10" w:name="_Toc431895138"/>
      <w:bookmarkStart w:id="11" w:name="_Toc441157250"/>
      <w:bookmarkStart w:id="12" w:name="_Toc441157425"/>
      <w:bookmarkStart w:id="13" w:name="_Toc441157598"/>
      <w:bookmarkStart w:id="14" w:name="_Toc441157802"/>
      <w:bookmarkStart w:id="15" w:name="_Toc441157975"/>
      <w:bookmarkStart w:id="16" w:name="_Toc441158148"/>
      <w:bookmarkStart w:id="17" w:name="_Toc431895139"/>
      <w:bookmarkStart w:id="18" w:name="_Toc441157251"/>
      <w:bookmarkStart w:id="19" w:name="_Toc441157426"/>
      <w:bookmarkStart w:id="20" w:name="_Toc441157599"/>
      <w:bookmarkStart w:id="21" w:name="_Toc441157803"/>
      <w:bookmarkStart w:id="22" w:name="_Toc441157976"/>
      <w:bookmarkStart w:id="23" w:name="_Toc441158149"/>
      <w:bookmarkStart w:id="24" w:name="_Toc431895140"/>
      <w:bookmarkStart w:id="25" w:name="_Toc441157252"/>
      <w:bookmarkStart w:id="26" w:name="_Toc441157427"/>
      <w:bookmarkStart w:id="27" w:name="_Toc441157600"/>
      <w:bookmarkStart w:id="28" w:name="_Toc441157804"/>
      <w:bookmarkStart w:id="29" w:name="_Toc441157977"/>
      <w:bookmarkStart w:id="30" w:name="_Toc441158150"/>
      <w:bookmarkStart w:id="31" w:name="_Toc431895141"/>
      <w:bookmarkStart w:id="32" w:name="_Toc441157253"/>
      <w:bookmarkStart w:id="33" w:name="_Toc441157428"/>
      <w:bookmarkStart w:id="34" w:name="_Toc441157601"/>
      <w:bookmarkStart w:id="35" w:name="_Toc441157805"/>
      <w:bookmarkStart w:id="36" w:name="_Toc441157978"/>
      <w:bookmarkStart w:id="37" w:name="_Toc441158151"/>
      <w:bookmarkStart w:id="38" w:name="_Toc431895142"/>
      <w:bookmarkStart w:id="39" w:name="_Toc441157254"/>
      <w:bookmarkStart w:id="40" w:name="_Toc441157429"/>
      <w:bookmarkStart w:id="41" w:name="_Toc441157602"/>
      <w:bookmarkStart w:id="42" w:name="_Toc441157806"/>
      <w:bookmarkStart w:id="43" w:name="_Toc441157979"/>
      <w:bookmarkStart w:id="44" w:name="_Toc441158152"/>
      <w:bookmarkStart w:id="45" w:name="_Toc431895143"/>
      <w:bookmarkStart w:id="46" w:name="_Toc441157255"/>
      <w:bookmarkStart w:id="47" w:name="_Toc441157430"/>
      <w:bookmarkStart w:id="48" w:name="_Toc441157603"/>
      <w:bookmarkStart w:id="49" w:name="_Toc441157807"/>
      <w:bookmarkStart w:id="50" w:name="_Toc441157980"/>
      <w:bookmarkStart w:id="51" w:name="_Toc441158153"/>
      <w:bookmarkStart w:id="52" w:name="_Toc431895144"/>
      <w:bookmarkStart w:id="53" w:name="_Toc441157256"/>
      <w:bookmarkStart w:id="54" w:name="_Toc441157431"/>
      <w:bookmarkStart w:id="55" w:name="_Toc441157604"/>
      <w:bookmarkStart w:id="56" w:name="_Toc441157808"/>
      <w:bookmarkStart w:id="57" w:name="_Toc441157981"/>
      <w:bookmarkStart w:id="58" w:name="_Toc441158154"/>
      <w:bookmarkStart w:id="59" w:name="_Toc431895145"/>
      <w:bookmarkStart w:id="60" w:name="_Toc441157257"/>
      <w:bookmarkStart w:id="61" w:name="_Toc441157432"/>
      <w:bookmarkStart w:id="62" w:name="_Toc441157605"/>
      <w:bookmarkStart w:id="63" w:name="_Toc441157809"/>
      <w:bookmarkStart w:id="64" w:name="_Toc441157982"/>
      <w:bookmarkStart w:id="65" w:name="_Toc441158155"/>
      <w:bookmarkStart w:id="66" w:name="_Toc4318951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344FAF">
        <w:rPr>
          <w:rFonts w:ascii="Century Gothic" w:hAnsi="Century Gothic"/>
        </w:rPr>
        <w:t xml:space="preserve">Nous faisons suite à la notification d’attribution du marché qui vous a été adressée le </w:t>
      </w:r>
      <w:r w:rsidRPr="00C15B99">
        <w:rPr>
          <w:rFonts w:ascii="Century Gothic" w:hAnsi="Century Gothic"/>
          <w:i/>
          <w:color w:val="00A4B7" w:themeColor="accent1"/>
        </w:rPr>
        <w:t>(jour, mois, année)</w:t>
      </w:r>
      <w:r w:rsidRPr="00344FAF">
        <w:rPr>
          <w:rFonts w:ascii="Century Gothic" w:hAnsi="Century Gothic"/>
        </w:rPr>
        <w:t>.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C15B99" w:rsidRDefault="00C15B99" w:rsidP="00C15B99">
      <w:pPr>
        <w:jc w:val="both"/>
        <w:rPr>
          <w:rFonts w:ascii="Century Gothic" w:hAnsi="Century Gothic"/>
          <w:i/>
          <w:color w:val="00A4B7" w:themeColor="accent1"/>
        </w:rPr>
      </w:pPr>
      <w:r w:rsidRPr="00C15B99">
        <w:rPr>
          <w:rFonts w:ascii="Century Gothic" w:hAnsi="Century Gothic"/>
          <w:i/>
          <w:color w:val="00A4B7" w:themeColor="accent1"/>
        </w:rPr>
        <w:t>Ajoutez une des deux propositions suivantes selon le cas :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Etant donné qu’aucune demande en suspension de la décision d’attribution n’a été introduite dans le délai d’attente de 15 jours,</w:t>
      </w:r>
    </w:p>
    <w:p w:rsidR="00C15B99" w:rsidRPr="00344FAF" w:rsidRDefault="00C15B99" w:rsidP="00C15B99">
      <w:pPr>
        <w:jc w:val="center"/>
        <w:rPr>
          <w:rFonts w:ascii="Century Gothic" w:hAnsi="Century Gothic"/>
        </w:rPr>
      </w:pPr>
    </w:p>
    <w:p w:rsidR="00C15B99" w:rsidRPr="00C15B99" w:rsidRDefault="00C15B99" w:rsidP="00C15B99">
      <w:pPr>
        <w:jc w:val="center"/>
        <w:rPr>
          <w:rFonts w:ascii="Century Gothic" w:hAnsi="Century Gothic"/>
          <w:color w:val="00A4B7" w:themeColor="accent1"/>
        </w:rPr>
      </w:pPr>
      <w:proofErr w:type="gramStart"/>
      <w:r w:rsidRPr="00C15B99">
        <w:rPr>
          <w:rFonts w:ascii="Century Gothic" w:hAnsi="Century Gothic"/>
          <w:color w:val="00A4B7" w:themeColor="accent1"/>
        </w:rPr>
        <w:t>OU</w:t>
      </w:r>
      <w:proofErr w:type="gramEnd"/>
    </w:p>
    <w:p w:rsidR="00C15B99" w:rsidRPr="00344FAF" w:rsidRDefault="00C15B99" w:rsidP="00C15B99">
      <w:pPr>
        <w:jc w:val="center"/>
        <w:rPr>
          <w:rFonts w:ascii="Century Gothic" w:hAnsi="Century Gothic"/>
        </w:rPr>
      </w:pPr>
    </w:p>
    <w:p w:rsidR="00C15B99" w:rsidRPr="00344FAF" w:rsidRDefault="00C15B99" w:rsidP="00C1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Etant donné que la/les demande(s) en suspension de la décision d’attribution a/ont été rejetée(s),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proofErr w:type="gramStart"/>
      <w:r w:rsidRPr="00344FAF">
        <w:rPr>
          <w:rFonts w:ascii="Century Gothic" w:hAnsi="Century Gothic"/>
        </w:rPr>
        <w:t>le</w:t>
      </w:r>
      <w:proofErr w:type="gramEnd"/>
      <w:r w:rsidRPr="00344FAF">
        <w:rPr>
          <w:rFonts w:ascii="Century Gothic" w:hAnsi="Century Gothic"/>
        </w:rPr>
        <w:t xml:space="preserve"> marché relatif aux travaux sous rubrique peut être conclu.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En conséquence, par la présente, nous vous passons commande pour les susdits travaux au prix de </w:t>
      </w:r>
      <w:r w:rsidRPr="00C15B99">
        <w:rPr>
          <w:rFonts w:ascii="Century Gothic" w:hAnsi="Century Gothic"/>
          <w:color w:val="00A4B7" w:themeColor="accent1"/>
        </w:rPr>
        <w:t xml:space="preserve">… </w:t>
      </w:r>
      <w:r w:rsidRPr="00344FAF">
        <w:rPr>
          <w:rFonts w:ascii="Century Gothic" w:hAnsi="Century Gothic"/>
        </w:rPr>
        <w:t xml:space="preserve">€ HTVA </w:t>
      </w:r>
      <w:r w:rsidRPr="00C15B99">
        <w:rPr>
          <w:rFonts w:ascii="Century Gothic" w:hAnsi="Century Gothic"/>
          <w:i/>
          <w:color w:val="00A4B7" w:themeColor="accent1"/>
        </w:rPr>
        <w:t>(montant base de commande)</w:t>
      </w:r>
      <w:r w:rsidRPr="00344FAF">
        <w:rPr>
          <w:rFonts w:ascii="Century Gothic" w:hAnsi="Century Gothic"/>
        </w:rPr>
        <w:t>.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Ce montant doit être considéré comme forfaitaire. Il doit suffire au complet achèvement des ouvrages compris dans le dossier ayant servi de base à l’adjudication et suivant les conditions y définies.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La date de commencement des travaux est fixée le </w:t>
      </w:r>
      <w:r w:rsidRPr="00C15B99">
        <w:rPr>
          <w:rFonts w:ascii="Century Gothic" w:hAnsi="Century Gothic"/>
          <w:i/>
          <w:color w:val="00A4B7" w:themeColor="accent1"/>
        </w:rPr>
        <w:t>(jour, mois, année)</w:t>
      </w:r>
      <w:r w:rsidRPr="00344FAF">
        <w:rPr>
          <w:rFonts w:ascii="Century Gothic" w:hAnsi="Century Gothic"/>
        </w:rPr>
        <w:t>.</w:t>
      </w:r>
      <w:r w:rsidR="00CD5FA6">
        <w:rPr>
          <w:rFonts w:ascii="Century Gothic" w:hAnsi="Century Gothic"/>
        </w:rPr>
        <w:t xml:space="preserve"> </w:t>
      </w:r>
      <w:r w:rsidR="00CD5FA6">
        <w:rPr>
          <w:rFonts w:ascii="Century Gothic" w:hAnsi="Century Gothic"/>
          <w:i/>
          <w:color w:val="00A4B7" w:themeColor="accent1"/>
        </w:rPr>
        <w:t>(</w:t>
      </w:r>
      <w:r w:rsidR="00CD5FA6" w:rsidRPr="004756F9">
        <w:rPr>
          <w:rFonts w:ascii="Century Gothic" w:hAnsi="Century Gothic"/>
          <w:i/>
          <w:color w:val="00A4B7" w:themeColor="accent1"/>
        </w:rPr>
        <w:t xml:space="preserve">Elle doit </w:t>
      </w:r>
      <w:r w:rsidR="00CD5FA6">
        <w:rPr>
          <w:rFonts w:ascii="Century Gothic" w:hAnsi="Century Gothic"/>
          <w:i/>
          <w:color w:val="00A4B7" w:themeColor="accent1"/>
        </w:rPr>
        <w:t xml:space="preserve">en principe </w:t>
      </w:r>
      <w:r w:rsidR="00CD5FA6" w:rsidRPr="004756F9">
        <w:rPr>
          <w:rFonts w:ascii="Century Gothic" w:hAnsi="Century Gothic"/>
          <w:i/>
          <w:color w:val="00A4B7" w:themeColor="accent1"/>
        </w:rPr>
        <w:t>être fixée par rapport à la</w:t>
      </w:r>
      <w:r w:rsidR="00CD5FA6">
        <w:rPr>
          <w:rFonts w:ascii="Century Gothic" w:hAnsi="Century Gothic"/>
          <w:i/>
          <w:color w:val="00A4B7" w:themeColor="accent1"/>
        </w:rPr>
        <w:t xml:space="preserve"> date de conclusion du marché : soit e</w:t>
      </w:r>
      <w:r w:rsidR="00CD5FA6" w:rsidRPr="004756F9">
        <w:rPr>
          <w:rFonts w:ascii="Century Gothic" w:hAnsi="Century Gothic"/>
          <w:i/>
          <w:color w:val="00A4B7" w:themeColor="accent1"/>
        </w:rPr>
        <w:t>ntre le 15ème et le 60ème jour de calendrier pour les travaux jusq</w:t>
      </w:r>
      <w:r w:rsidR="00CD5FA6">
        <w:rPr>
          <w:rFonts w:ascii="Century Gothic" w:hAnsi="Century Gothic"/>
          <w:i/>
          <w:color w:val="00A4B7" w:themeColor="accent1"/>
        </w:rPr>
        <w:t>u’à la classe 5 (1.810.000 €) ; soit e</w:t>
      </w:r>
      <w:r w:rsidR="00CD5FA6" w:rsidRPr="004756F9">
        <w:rPr>
          <w:rFonts w:ascii="Century Gothic" w:hAnsi="Century Gothic"/>
          <w:i/>
          <w:color w:val="00A4B7" w:themeColor="accent1"/>
        </w:rPr>
        <w:t>ntre le 30ème et le 75ème jour de calendrier pour les travaux à partir de la class</w:t>
      </w:r>
      <w:r w:rsidR="00CD5FA6">
        <w:rPr>
          <w:rFonts w:ascii="Century Gothic" w:hAnsi="Century Gothic"/>
          <w:i/>
          <w:color w:val="00A4B7" w:themeColor="accent1"/>
        </w:rPr>
        <w:t>e 6)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D5FA6" w:rsidRDefault="00C15B99" w:rsidP="00C15B99">
      <w:pPr>
        <w:jc w:val="both"/>
        <w:rPr>
          <w:rFonts w:ascii="Century Gothic" w:hAnsi="Century Gothic"/>
          <w:i/>
          <w:color w:val="00A4B7" w:themeColor="accent1"/>
        </w:rPr>
      </w:pPr>
      <w:r w:rsidRPr="00344FAF">
        <w:rPr>
          <w:rFonts w:ascii="Century Gothic" w:hAnsi="Century Gothic"/>
        </w:rPr>
        <w:t xml:space="preserve">Le délai d’exécution est de </w:t>
      </w:r>
      <w:r w:rsidRPr="00CD5FA6">
        <w:rPr>
          <w:rFonts w:ascii="Century Gothic" w:hAnsi="Century Gothic"/>
        </w:rPr>
        <w:t>mentionné dans les documen</w:t>
      </w:r>
      <w:r w:rsidR="00CD5FA6" w:rsidRPr="00CD5FA6">
        <w:rPr>
          <w:rFonts w:ascii="Century Gothic" w:hAnsi="Century Gothic"/>
        </w:rPr>
        <w:t>ts du marché.</w:t>
      </w:r>
    </w:p>
    <w:p w:rsidR="00C15B99" w:rsidRPr="00344FAF" w:rsidRDefault="00CD5FA6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 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Vous voudrez bien nous fournir les documents suivants dans un délai de 30 jours de calendrier à dater de la présente, sauf disposition contraire :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  <w:lang w:val="fr-FR"/>
        </w:rPr>
      </w:pPr>
      <w:r w:rsidRPr="00344FAF">
        <w:rPr>
          <w:rFonts w:ascii="Century Gothic" w:hAnsi="Century Gothic"/>
          <w:lang w:val="fr-FR"/>
        </w:rPr>
        <w:t xml:space="preserve">La liste des éventuels </w:t>
      </w:r>
      <w:r w:rsidRPr="00344FAF">
        <w:rPr>
          <w:rFonts w:ascii="Century Gothic" w:hAnsi="Century Gothic"/>
          <w:b/>
          <w:lang w:val="fr-FR"/>
        </w:rPr>
        <w:t xml:space="preserve">sous-traitants, </w:t>
      </w:r>
      <w:r w:rsidRPr="00344FAF">
        <w:rPr>
          <w:rFonts w:ascii="Century Gothic" w:hAnsi="Century Gothic"/>
          <w:lang w:val="fr-FR"/>
        </w:rPr>
        <w:t xml:space="preserve">ainsi que leurs coordonnées, leurs représentants légaux, leurs références (n° de TVA, agréation, etc.), leur </w:t>
      </w:r>
      <w:r w:rsidRPr="00344FAF">
        <w:rPr>
          <w:rFonts w:ascii="Century Gothic" w:hAnsi="Century Gothic"/>
          <w:lang w:val="fr-FR"/>
        </w:rPr>
        <w:lastRenderedPageBreak/>
        <w:t>nationalité et le montant des travaux qui seront susceptibles de leur être confiés, conformément aux articles 12 à 15 de l’arrêté « exécution », tel que complété par le SLRB/MT 2017 (au moins 30 jours avant que le sous-traitant n’entame les travaux qui le concernent) ;</w:t>
      </w:r>
    </w:p>
    <w:p w:rsidR="00C15B99" w:rsidRPr="00344FAF" w:rsidRDefault="00C15B99" w:rsidP="00C15B99">
      <w:pPr>
        <w:pStyle w:val="Paragraphedeliste"/>
        <w:ind w:left="720"/>
        <w:contextualSpacing/>
        <w:jc w:val="both"/>
        <w:rPr>
          <w:rFonts w:ascii="Century Gothic" w:hAnsi="Century Gothic"/>
          <w:lang w:val="fr-FR"/>
        </w:rPr>
      </w:pPr>
    </w:p>
    <w:p w:rsidR="00C15B99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Une copie des polices </w:t>
      </w:r>
      <w:r w:rsidRPr="00344FAF">
        <w:rPr>
          <w:rFonts w:ascii="Century Gothic" w:hAnsi="Century Gothic"/>
          <w:b/>
        </w:rPr>
        <w:t>d’assurance</w:t>
      </w:r>
      <w:r w:rsidRPr="00344FAF">
        <w:rPr>
          <w:rFonts w:ascii="Century Gothic" w:hAnsi="Century Gothic"/>
        </w:rPr>
        <w:t xml:space="preserve"> dont question à l’article 24 de l’arrêté « exécution », tel que complété par le SLRB/MT 2017 ;</w:t>
      </w:r>
    </w:p>
    <w:p w:rsidR="00ED7BE3" w:rsidRPr="00ED7BE3" w:rsidRDefault="00ED7BE3" w:rsidP="00ED7BE3">
      <w:pPr>
        <w:pStyle w:val="Paragraphedeliste"/>
        <w:rPr>
          <w:rFonts w:ascii="Century Gothic" w:hAnsi="Century Gothic"/>
        </w:rPr>
      </w:pPr>
    </w:p>
    <w:p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La pièce justificative constatant le dépôt du </w:t>
      </w:r>
      <w:r w:rsidRPr="00344FAF">
        <w:rPr>
          <w:rFonts w:ascii="Century Gothic" w:hAnsi="Century Gothic"/>
          <w:b/>
        </w:rPr>
        <w:t>cautionnement</w:t>
      </w:r>
      <w:r w:rsidRPr="00344FAF">
        <w:rPr>
          <w:rFonts w:ascii="Century Gothic" w:hAnsi="Century Gothic"/>
        </w:rPr>
        <w:t xml:space="preserve"> dont question aux articles 25 à 33 et 93, tels que complétés par le SLRB/MT 2017 (pour rappel, le cautionnement est fixé à 5 % du montant de commande mentionné ci-dessus, arrondi à la dizaine d’euros supérieure) ;</w:t>
      </w:r>
    </w:p>
    <w:p w:rsidR="00C15B99" w:rsidRPr="00344FAF" w:rsidRDefault="00C15B99" w:rsidP="00C15B99">
      <w:pPr>
        <w:pStyle w:val="Paragraphedeliste"/>
        <w:ind w:left="720"/>
        <w:contextualSpacing/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 xml:space="preserve">Les </w:t>
      </w:r>
      <w:r w:rsidRPr="00344FAF">
        <w:rPr>
          <w:rFonts w:ascii="Century Gothic" w:hAnsi="Century Gothic"/>
          <w:b/>
        </w:rPr>
        <w:t>plans</w:t>
      </w:r>
      <w:r w:rsidRPr="00344FAF">
        <w:rPr>
          <w:rFonts w:ascii="Century Gothic" w:hAnsi="Century Gothic"/>
        </w:rPr>
        <w:t xml:space="preserve"> de détails et d’exécution dont question à l’article 36 de l’arrêté « exécution », tel que complété par le SLRB/MT 2017 (ceux-ci peuvent être introduits jusqu’à 30 jours avant le début de l’exécution des travaux) ;</w:t>
      </w:r>
    </w:p>
    <w:p w:rsidR="00C15B99" w:rsidRPr="00344FAF" w:rsidRDefault="00C15B99" w:rsidP="00C15B99">
      <w:pPr>
        <w:contextualSpacing/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pStyle w:val="Paragraphedeliste"/>
        <w:numPr>
          <w:ilvl w:val="0"/>
          <w:numId w:val="6"/>
        </w:numPr>
        <w:contextualSpacing/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  <w:b/>
        </w:rPr>
        <w:t>L’état des lieux</w:t>
      </w:r>
      <w:r w:rsidRPr="00344FAF">
        <w:rPr>
          <w:rFonts w:ascii="Century Gothic" w:hAnsi="Century Gothic"/>
        </w:rPr>
        <w:t xml:space="preserve"> avant travaux (au plus tard 10 jours avant le commencement des travaux) et le </w:t>
      </w:r>
      <w:r w:rsidRPr="00344FAF">
        <w:rPr>
          <w:rFonts w:ascii="Century Gothic" w:hAnsi="Century Gothic"/>
          <w:b/>
        </w:rPr>
        <w:t>planning</w:t>
      </w:r>
      <w:r w:rsidRPr="00344FAF">
        <w:rPr>
          <w:rFonts w:ascii="Century Gothic" w:hAnsi="Century Gothic"/>
        </w:rPr>
        <w:t xml:space="preserve"> des travaux (avant le début de l’exécution) dont question à l’article 79 de l’arrêté « exécution », tel que complété par le SLRB/MT 2017.</w:t>
      </w: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</w:p>
    <w:p w:rsidR="00C15B99" w:rsidRPr="00344FAF" w:rsidRDefault="00C15B99" w:rsidP="00C15B99">
      <w:pPr>
        <w:jc w:val="both"/>
        <w:rPr>
          <w:rFonts w:ascii="Century Gothic" w:hAnsi="Century Gothic"/>
        </w:rPr>
      </w:pPr>
      <w:r w:rsidRPr="00344FAF">
        <w:rPr>
          <w:rFonts w:ascii="Century Gothic" w:hAnsi="Century Gothic"/>
        </w:rPr>
        <w:t>Veuillez agréer, Madame, Monsieur, l’expression de nos sentiments distingués.</w:t>
      </w:r>
    </w:p>
    <w:p w:rsidR="00374E72" w:rsidRPr="006A3E33" w:rsidRDefault="00374E72" w:rsidP="00374E72">
      <w:pPr>
        <w:rPr>
          <w:rFonts w:ascii="Century Gothic" w:hAnsi="Century Gothic"/>
          <w:b/>
          <w:sz w:val="32"/>
          <w:szCs w:val="32"/>
        </w:rPr>
      </w:pPr>
      <w:r w:rsidRPr="006A3E33">
        <w:rPr>
          <w:rFonts w:ascii="Century Gothic" w:hAnsi="Century Gothic"/>
          <w:b/>
          <w:sz w:val="32"/>
          <w:szCs w:val="32"/>
        </w:rPr>
        <w:br w:type="page"/>
      </w:r>
    </w:p>
    <w:p w:rsidR="00712D68" w:rsidRPr="00374E72" w:rsidRDefault="003A3A2B" w:rsidP="003A3A2B">
      <w:pPr>
        <w:rPr>
          <w:rFonts w:ascii="Century Gothic" w:hAnsi="Century Gothic"/>
          <w:sz w:val="18"/>
          <w:szCs w:val="18"/>
        </w:rPr>
      </w:pPr>
      <w:r w:rsidRPr="003A3A2B">
        <w:rPr>
          <w:noProof/>
        </w:rPr>
        <w:lastRenderedPageBreak/>
        <w:drawing>
          <wp:inline distT="0" distB="0" distL="0" distR="0">
            <wp:extent cx="5760720" cy="88553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68" w:rsidRPr="00374E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E8" w:rsidRDefault="001D56E8" w:rsidP="001D56E8">
      <w:r>
        <w:separator/>
      </w:r>
    </w:p>
  </w:endnote>
  <w:endnote w:type="continuationSeparator" w:id="0">
    <w:p w:rsidR="001D56E8" w:rsidRDefault="001D56E8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C15B99" w:rsidRDefault="00C15B99" w:rsidP="00C15B99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DMT_COMMANDE_STANDSTILL_2019_FR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E8" w:rsidRDefault="001D56E8" w:rsidP="001D56E8">
      <w:r>
        <w:separator/>
      </w:r>
    </w:p>
  </w:footnote>
  <w:footnote w:type="continuationSeparator" w:id="0">
    <w:p w:rsidR="001D56E8" w:rsidRDefault="001D56E8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12B"/>
    <w:multiLevelType w:val="hybridMultilevel"/>
    <w:tmpl w:val="51A0F98E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5D891BD2"/>
    <w:multiLevelType w:val="hybridMultilevel"/>
    <w:tmpl w:val="DDDCC4F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5748"/>
    <w:multiLevelType w:val="hybridMultilevel"/>
    <w:tmpl w:val="255EFD98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87AD7"/>
    <w:multiLevelType w:val="hybridMultilevel"/>
    <w:tmpl w:val="4516CEC0"/>
    <w:lvl w:ilvl="0" w:tplc="A40E1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3"/>
    <w:rsid w:val="001973AF"/>
    <w:rsid w:val="001D56E8"/>
    <w:rsid w:val="001E7951"/>
    <w:rsid w:val="0020045D"/>
    <w:rsid w:val="002D3E24"/>
    <w:rsid w:val="002F4E9A"/>
    <w:rsid w:val="00374E72"/>
    <w:rsid w:val="003A3A2B"/>
    <w:rsid w:val="003C02A6"/>
    <w:rsid w:val="003E61A1"/>
    <w:rsid w:val="00490A58"/>
    <w:rsid w:val="00521AAA"/>
    <w:rsid w:val="00525519"/>
    <w:rsid w:val="00570D29"/>
    <w:rsid w:val="006F60F9"/>
    <w:rsid w:val="00707FD1"/>
    <w:rsid w:val="00712D68"/>
    <w:rsid w:val="00961602"/>
    <w:rsid w:val="00962C07"/>
    <w:rsid w:val="00991FDD"/>
    <w:rsid w:val="00A43D76"/>
    <w:rsid w:val="00A66148"/>
    <w:rsid w:val="00B63D15"/>
    <w:rsid w:val="00B747ED"/>
    <w:rsid w:val="00BB6E03"/>
    <w:rsid w:val="00C15B99"/>
    <w:rsid w:val="00C62AFF"/>
    <w:rsid w:val="00CD5FA6"/>
    <w:rsid w:val="00D147A2"/>
    <w:rsid w:val="00D33FD3"/>
    <w:rsid w:val="00D55016"/>
    <w:rsid w:val="00DB19B6"/>
    <w:rsid w:val="00E40B3A"/>
    <w:rsid w:val="00ED7BE3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FA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FA6"/>
    <w:rPr>
      <w:rFonts w:asciiTheme="minorHAnsi" w:eastAsia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CD5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Audrey EWBANK</cp:lastModifiedBy>
  <cp:revision>8</cp:revision>
  <dcterms:created xsi:type="dcterms:W3CDTF">2018-11-09T15:26:00Z</dcterms:created>
  <dcterms:modified xsi:type="dcterms:W3CDTF">2019-01-23T10:49:00Z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