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B21B" w14:textId="1D0E5300" w:rsidR="004A3B05" w:rsidRDefault="004E03A2" w:rsidP="004A3B05">
      <w:pPr>
        <w:spacing w:after="0" w:line="240" w:lineRule="auto"/>
        <w:jc w:val="center"/>
        <w:rPr>
          <w:rFonts w:ascii="Helvetica-BoldOblique" w:hAnsi="Helvetica-BoldOblique" w:cs="Helvetica-BoldOblique"/>
          <w:b/>
          <w:bCs/>
          <w:sz w:val="24"/>
          <w:szCs w:val="24"/>
          <w:u w:val="single"/>
          <w:lang w:val="fr-FR" w:eastAsia="fr-FR"/>
        </w:rPr>
      </w:pPr>
      <w:r>
        <w:rPr>
          <w:rStyle w:val="normaltextrun"/>
          <w:b/>
          <w:color w:val="00A4B7"/>
          <w:sz w:val="22"/>
          <w:szCs w:val="22"/>
          <w:u w:val="single"/>
          <w:shd w:val="clear" w:color="auto" w:fill="FFFFFF"/>
        </w:rPr>
        <w:t xml:space="preserve">(X) </w:t>
      </w:r>
      <w:r w:rsidR="004A3B05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Annexe</w:t>
      </w:r>
      <w:r w:rsidR="00491BD9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 xml:space="preserve"> </w:t>
      </w:r>
      <w:r w:rsidR="00C134B3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A.</w:t>
      </w:r>
      <w:r w:rsidR="0071061A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2</w:t>
      </w:r>
      <w:r w:rsidR="00C134B3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.</w:t>
      </w:r>
      <w:r w:rsidR="004A3B05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: GESTION DES TRAVAUX EN MILIEU HABITE</w:t>
      </w:r>
    </w:p>
    <w:p w14:paraId="5FE566E5" w14:textId="5F227DED" w:rsidR="004A3B05" w:rsidRPr="00077BBA" w:rsidRDefault="000A5F65" w:rsidP="004A3B05">
      <w:pPr>
        <w:spacing w:after="0" w:line="240" w:lineRule="auto"/>
        <w:rPr>
          <w:rFonts w:ascii="Helvetica-BoldOblique" w:hAnsi="Helvetica-BoldOblique" w:cs="Helvetica-BoldOblique"/>
          <w:b/>
          <w:bCs/>
          <w:sz w:val="24"/>
          <w:szCs w:val="24"/>
          <w:u w:val="single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EB757" wp14:editId="2395D9C1">
                <wp:simplePos x="0" y="0"/>
                <wp:positionH relativeFrom="column">
                  <wp:posOffset>-27940</wp:posOffset>
                </wp:positionH>
                <wp:positionV relativeFrom="paragraph">
                  <wp:posOffset>345440</wp:posOffset>
                </wp:positionV>
                <wp:extent cx="5949950" cy="2669540"/>
                <wp:effectExtent l="0" t="0" r="12700" b="16510"/>
                <wp:wrapSquare wrapText="bothSides"/>
                <wp:docPr id="733820436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014AC2-5C2B-4440-9F32-870AC60415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66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18982A3" w14:textId="0BC9D2B5" w:rsidR="00C7287F" w:rsidRPr="006339EB" w:rsidRDefault="00C7287F" w:rsidP="00C7287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>Aide-mémoire</w:t>
                            </w:r>
                            <w:r w:rsidRPr="006339EB"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 xml:space="preserve"> : </w:t>
                            </w:r>
                          </w:p>
                          <w:p w14:paraId="5DCC21D1" w14:textId="3C2FC4AD" w:rsidR="00FD2088" w:rsidRDefault="002F357E" w:rsidP="00C7287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Cette annexe </w:t>
                            </w:r>
                            <w:r w:rsidR="00042FDF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a pour objectif</w:t>
                            </w:r>
                            <w:r w:rsid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 </w:t>
                            </w:r>
                            <w:r w:rsidR="00F224D2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d’informer les soumissionnaires : </w:t>
                            </w:r>
                          </w:p>
                          <w:p w14:paraId="671F4A5B" w14:textId="0F990508" w:rsidR="000E1EE9" w:rsidRPr="00FD2088" w:rsidRDefault="00152901" w:rsidP="001211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des enjeux </w:t>
                            </w:r>
                            <w:r w:rsidR="004E3A52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qui résultent de la stratégie de rénovation en milieu habité </w:t>
                            </w:r>
                            <w:r w:rsidR="00B23D10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déployée par la SISP </w:t>
                            </w:r>
                            <w:r w:rsidR="004E3A52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; </w:t>
                            </w:r>
                          </w:p>
                          <w:p w14:paraId="38245EB5" w14:textId="0E18F103" w:rsidR="004E3A52" w:rsidRDefault="008D44E7" w:rsidP="001211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des moyens mis en place par la SISP pour soutenir cette stratégie </w:t>
                            </w:r>
                            <w:r w:rsidR="0036287B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tout en mettant</w:t>
                            </w:r>
                            <w:r w:rsidR="00936EC4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en avant son expertise de terrain</w:t>
                            </w:r>
                            <w:r w:rsidR="00C3375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73B8512B" w14:textId="77777777" w:rsidR="008D44E7" w:rsidRDefault="008D44E7" w:rsidP="0036287B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2B6B755B" w14:textId="78876C00" w:rsidR="003B076D" w:rsidRDefault="00D977AF" w:rsidP="00150607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Elle p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ermettra </w:t>
                            </w:r>
                            <w:r w:rsidR="00292933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à 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la</w:t>
                            </w:r>
                            <w:r w:rsidR="00292933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SISP 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de clarifier</w:t>
                            </w: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3E30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aux soumissionnaires 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les tâches assumées</w:t>
                            </w:r>
                            <w:r w:rsidR="0031292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et attendues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de la 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par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t de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l’adjudicataire </w:t>
                            </w:r>
                            <w:r w:rsidR="003040EA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ou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l’adjudicateur</w:t>
                            </w:r>
                            <w:r w:rsidR="003040EA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. </w:t>
                            </w:r>
                            <w:r w:rsidR="00FE2FDB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Il s’agira de </w:t>
                            </w:r>
                            <w:r w:rsidR="001506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décrire </w:t>
                            </w:r>
                            <w:r w:rsidR="009944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toutes les </w:t>
                            </w:r>
                            <w:r w:rsidR="00994407" w:rsidRPr="00E8774A">
                              <w:rPr>
                                <w:b/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dispositions </w:t>
                            </w:r>
                            <w:r w:rsidR="00CE5739" w:rsidRPr="00E8774A">
                              <w:rPr>
                                <w:b/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>organisationnelles</w:t>
                            </w:r>
                            <w:r w:rsidR="00CE5739" w:rsidRPr="00162DFC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D2763D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soit déjà mises en place par la SISP soit attendues de l’adjudicataire</w:t>
                            </w:r>
                            <w:r w:rsidR="006C4CAD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. Cela dans le but de minimiser l’impact des travaux projetés</w:t>
                            </w:r>
                            <w:r w:rsidR="00261EA5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au niveau des locataires </w:t>
                            </w:r>
                            <w:r w:rsidR="00CD1F02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et </w:t>
                            </w:r>
                            <w:r w:rsidR="00CB257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favoriser la gestion et le bon </w:t>
                            </w:r>
                            <w:r w:rsidR="00162DFC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déroulement du chantier. </w:t>
                            </w:r>
                          </w:p>
                          <w:p w14:paraId="4D930699" w14:textId="77777777" w:rsidR="00D249FA" w:rsidRDefault="00D249FA" w:rsidP="00150607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0C2727DB" w14:textId="7ACA2F38" w:rsidR="00F03B01" w:rsidRDefault="00F03B01" w:rsidP="0015060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</w:pP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 xml:space="preserve">Les informations à développer dans cette annexe doivent </w:t>
                            </w: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u w:val="single"/>
                                <w:shd w:val="clear" w:color="auto" w:fill="FFFFFF"/>
                              </w:rPr>
                              <w:t>COMPLETER</w:t>
                            </w: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 xml:space="preserve"> les mesures déjà prises dans le </w:t>
                            </w:r>
                            <w:r w:rsidR="007A7FA1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>C</w:t>
                            </w: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 xml:space="preserve">ahier </w:t>
                            </w:r>
                            <w:r w:rsidR="007A7FA1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>S</w:t>
                            </w: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 xml:space="preserve">pécial des </w:t>
                            </w:r>
                            <w:r w:rsidR="007A7FA1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>C</w:t>
                            </w:r>
                            <w:r w:rsidRPr="00EB43E2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>harges - partie II Dispositions complémentaires</w:t>
                            </w:r>
                            <w:r w:rsidR="007A7FA1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>.</w:t>
                            </w:r>
                            <w:r w:rsidR="00D249FA">
                              <w:rPr>
                                <w:b/>
                                <w:bCs/>
                                <w:i/>
                                <w:iCs/>
                                <w:color w:val="E5004D"/>
                                <w:shd w:val="clear" w:color="auto" w:fill="FFFFFF"/>
                              </w:rPr>
                              <w:t xml:space="preserve"> Ceci par souci de cohérence et pour éviter les doublons.  </w:t>
                            </w:r>
                          </w:p>
                          <w:p w14:paraId="1B2DBC3D" w14:textId="138F5C59" w:rsidR="00610417" w:rsidRDefault="00610417" w:rsidP="00150607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6F2CAEAF" w14:textId="7BD1737F" w:rsidR="00FF1F00" w:rsidRDefault="00641DE8" w:rsidP="00150607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hyperlink r:id="rId10" w:history="1">
                              <w:r w:rsidRPr="00A608D9">
                                <w:rPr>
                                  <w:rStyle w:val="Lienhypertexte"/>
                                  <w:i/>
                                  <w:shd w:val="clear" w:color="auto" w:fill="FFFFFF"/>
                                </w:rPr>
                                <w:t>Toolbox Rénovation en Milieu Habité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EB75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.2pt;margin-top:27.2pt;width:468.5pt;height:210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" filled="f" strokecolor="#c00000" strokeweight=".5pt">
                <v:textbox style="mso-fit-shape-to-text:t">
                  <w:txbxContent>
                    <w:p w14:paraId="718982A3" w14:textId="0BC9D2B5" w:rsidR="00C7287F" w:rsidRPr="006339EB" w:rsidRDefault="00C7287F" w:rsidP="00C7287F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>Aide-mémoire</w:t>
                      </w:r>
                      <w:r w:rsidRPr="006339EB"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 xml:space="preserve"> : </w:t>
                      </w:r>
                    </w:p>
                    <w:p w14:paraId="5DCC21D1" w14:textId="3C2FC4AD" w:rsidR="00FD2088" w:rsidRDefault="002F357E" w:rsidP="00C7287F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Cette annexe </w:t>
                      </w:r>
                      <w:r w:rsidR="00042FDF">
                        <w:rPr>
                          <w:i/>
                          <w:color w:val="E5004D"/>
                          <w:shd w:val="clear" w:color="auto" w:fill="FFFFFF"/>
                        </w:rPr>
                        <w:t>a pour objectif</w:t>
                      </w:r>
                      <w:r w:rsidR="00FD2088">
                        <w:rPr>
                          <w:i/>
                          <w:color w:val="E5004D"/>
                          <w:shd w:val="clear" w:color="auto" w:fill="FFFFFF"/>
                        </w:rPr>
                        <w:t> </w:t>
                      </w:r>
                      <w:r w:rsidR="00F224D2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d’informer les soumissionnaires : </w:t>
                      </w:r>
                    </w:p>
                    <w:p w14:paraId="671F4A5B" w14:textId="0F990508" w:rsidR="000E1EE9" w:rsidRPr="00FD2088" w:rsidRDefault="00152901" w:rsidP="001211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des enjeux </w:t>
                      </w:r>
                      <w:r w:rsidR="004E3A52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>qui résultent de la stratégie de rénovation en milieu habité </w:t>
                      </w:r>
                      <w:r w:rsidR="00B23D10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déployée par la SISP </w:t>
                      </w:r>
                      <w:r w:rsidR="004E3A52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; </w:t>
                      </w:r>
                    </w:p>
                    <w:p w14:paraId="38245EB5" w14:textId="0E18F103" w:rsidR="004E3A52" w:rsidRDefault="008D44E7" w:rsidP="001211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des moyens mis en place par la SISP pour soutenir cette stratégie </w:t>
                      </w:r>
                      <w:r w:rsidR="0036287B">
                        <w:rPr>
                          <w:i/>
                          <w:color w:val="E5004D"/>
                          <w:shd w:val="clear" w:color="auto" w:fill="FFFFFF"/>
                        </w:rPr>
                        <w:t>tout en mettant</w:t>
                      </w:r>
                      <w:r w:rsidR="00936EC4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en avant son expertise de terrain</w:t>
                      </w:r>
                      <w:r w:rsidR="00C3375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. </w:t>
                      </w:r>
                    </w:p>
                    <w:p w14:paraId="73B8512B" w14:textId="77777777" w:rsidR="008D44E7" w:rsidRDefault="008D44E7" w:rsidP="0036287B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2B6B755B" w14:textId="78876C00" w:rsidR="003B076D" w:rsidRDefault="00D977AF" w:rsidP="00150607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>Elle p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ermettra </w:t>
                      </w:r>
                      <w:r w:rsidR="00292933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à 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>la</w:t>
                      </w:r>
                      <w:r w:rsidR="00292933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SISP 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>de clarifier</w:t>
                      </w: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3E30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aux soumissionnaires 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>les tâches assumées</w:t>
                      </w:r>
                      <w:r w:rsidR="0031292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et attendues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de la 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>par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>t de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l’adjudicataire </w:t>
                      </w:r>
                      <w:r w:rsidR="003040EA">
                        <w:rPr>
                          <w:i/>
                          <w:color w:val="E5004D"/>
                          <w:shd w:val="clear" w:color="auto" w:fill="FFFFFF"/>
                        </w:rPr>
                        <w:t>ou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>l’adjudicateur</w:t>
                      </w:r>
                      <w:r w:rsidR="003040EA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. </w:t>
                      </w:r>
                      <w:r w:rsidR="00FE2FDB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Il s’agira de </w:t>
                      </w:r>
                      <w:r w:rsidR="001506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décrire </w:t>
                      </w:r>
                      <w:r w:rsidR="009944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toutes les </w:t>
                      </w:r>
                      <w:r w:rsidR="00994407" w:rsidRPr="00E8774A">
                        <w:rPr>
                          <w:b/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dispositions </w:t>
                      </w:r>
                      <w:r w:rsidR="00CE5739" w:rsidRPr="00E8774A">
                        <w:rPr>
                          <w:b/>
                          <w:bCs/>
                          <w:i/>
                          <w:color w:val="E5004D"/>
                          <w:shd w:val="clear" w:color="auto" w:fill="FFFFFF"/>
                        </w:rPr>
                        <w:t>organisationnelles</w:t>
                      </w:r>
                      <w:r w:rsidR="00CE5739" w:rsidRPr="00162DFC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D2763D">
                        <w:rPr>
                          <w:i/>
                          <w:color w:val="E5004D"/>
                          <w:shd w:val="clear" w:color="auto" w:fill="FFFFFF"/>
                        </w:rPr>
                        <w:t>soit déjà mises en place par la SISP soit attendues de l’adjudicataire</w:t>
                      </w:r>
                      <w:r w:rsidR="006C4CAD">
                        <w:rPr>
                          <w:i/>
                          <w:color w:val="E5004D"/>
                          <w:shd w:val="clear" w:color="auto" w:fill="FFFFFF"/>
                        </w:rPr>
                        <w:t>. Cela dans le but de minimiser l’impact des travaux projetés</w:t>
                      </w:r>
                      <w:r w:rsidR="00261EA5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au niveau des locataires </w:t>
                      </w:r>
                      <w:r w:rsidR="00CD1F02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et </w:t>
                      </w:r>
                      <w:r w:rsidR="00CB257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favoriser la gestion et le bon </w:t>
                      </w:r>
                      <w:r w:rsidR="00162DFC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déroulement du chantier. </w:t>
                      </w:r>
                    </w:p>
                    <w:p w14:paraId="4D930699" w14:textId="77777777" w:rsidR="00D249FA" w:rsidRDefault="00D249FA" w:rsidP="00150607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0C2727DB" w14:textId="7ACA2F38" w:rsidR="00F03B01" w:rsidRDefault="00F03B01" w:rsidP="0015060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</w:pP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 xml:space="preserve">Les informations à développer dans cette annexe doivent </w:t>
                      </w: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u w:val="single"/>
                          <w:shd w:val="clear" w:color="auto" w:fill="FFFFFF"/>
                        </w:rPr>
                        <w:t>COMPLETER</w:t>
                      </w: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 xml:space="preserve"> les mesures déjà prises dans le </w:t>
                      </w:r>
                      <w:r w:rsidR="007A7FA1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>C</w:t>
                      </w: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 xml:space="preserve">ahier </w:t>
                      </w:r>
                      <w:r w:rsidR="007A7FA1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>S</w:t>
                      </w: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 xml:space="preserve">pécial des </w:t>
                      </w:r>
                      <w:r w:rsidR="007A7FA1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>C</w:t>
                      </w:r>
                      <w:r w:rsidRPr="00EB43E2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>harges - partie II Dispositions complémentaires</w:t>
                      </w:r>
                      <w:r w:rsidR="007A7FA1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>.</w:t>
                      </w:r>
                      <w:r w:rsidR="00D249FA">
                        <w:rPr>
                          <w:b/>
                          <w:bCs/>
                          <w:i/>
                          <w:iCs/>
                          <w:color w:val="E5004D"/>
                          <w:shd w:val="clear" w:color="auto" w:fill="FFFFFF"/>
                        </w:rPr>
                        <w:t xml:space="preserve"> Ceci par souci de cohérence et pour éviter les doublons.  </w:t>
                      </w:r>
                    </w:p>
                    <w:p w14:paraId="1B2DBC3D" w14:textId="138F5C59" w:rsidR="00610417" w:rsidRDefault="00610417" w:rsidP="00150607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6F2CAEAF" w14:textId="7BD1737F" w:rsidR="00FF1F00" w:rsidRDefault="00641DE8" w:rsidP="00150607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hyperlink r:id="rId11" w:history="1">
                        <w:r w:rsidRPr="00A608D9">
                          <w:rPr>
                            <w:rStyle w:val="Lienhypertexte"/>
                            <w:i/>
                            <w:shd w:val="clear" w:color="auto" w:fill="FFFFFF"/>
                          </w:rPr>
                          <w:t>Toolbox Rénovation en Milieu Habité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E36B2" w14:textId="77777777" w:rsidR="000A5F65" w:rsidRPr="00FD053E" w:rsidRDefault="000A5F65" w:rsidP="000A5F65">
      <w:pPr>
        <w:pStyle w:val="Paragraphedeliste"/>
        <w:spacing w:after="0" w:line="240" w:lineRule="auto"/>
        <w:jc w:val="both"/>
        <w:rPr>
          <w:rStyle w:val="normaltextrun"/>
          <w:b/>
          <w:bCs/>
          <w:color w:val="E5004D"/>
          <w:sz w:val="22"/>
          <w:szCs w:val="22"/>
          <w:u w:val="single"/>
          <w:shd w:val="clear" w:color="auto" w:fill="FFFFFF"/>
        </w:rPr>
      </w:pPr>
    </w:p>
    <w:p w14:paraId="4B1CF37B" w14:textId="4945E79B" w:rsidR="00B3216D" w:rsidRPr="00D6198A" w:rsidRDefault="00B3216D" w:rsidP="00D6198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 w:rsidRPr="00D6198A"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 xml:space="preserve">INTRODUCTION : </w:t>
      </w:r>
    </w:p>
    <w:p w14:paraId="59B5746C" w14:textId="77777777" w:rsidR="00B3216D" w:rsidRDefault="00B3216D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788CB952" w14:textId="076E5FFA" w:rsidR="00CB2571" w:rsidRPr="00C24FE2" w:rsidRDefault="00CB2571" w:rsidP="00CB2571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>
        <w:rPr>
          <w:b/>
          <w:u w:val="single"/>
          <w:lang w:val="fr-FR"/>
        </w:rPr>
        <w:t xml:space="preserve">Enjeux du maintien de l’occupation des logements pendant les travaux de rénovation : </w:t>
      </w:r>
      <w:r w:rsidRPr="00C24FE2">
        <w:rPr>
          <w:b/>
          <w:u w:val="single"/>
          <w:lang w:val="fr-FR"/>
        </w:rPr>
        <w:t xml:space="preserve"> </w:t>
      </w:r>
    </w:p>
    <w:p w14:paraId="12C2FB27" w14:textId="77777777" w:rsidR="00160F62" w:rsidRPr="00334EE4" w:rsidRDefault="00160F62" w:rsidP="00160F62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3C58185F" w14:textId="30094D60" w:rsidR="00160F62" w:rsidRDefault="00160F62" w:rsidP="00A22B83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d’exemple :</w:t>
      </w:r>
    </w:p>
    <w:p w14:paraId="03A626FD" w14:textId="29B4533A" w:rsidR="00A22B83" w:rsidRDefault="00836517" w:rsidP="00A22B8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l</w:t>
      </w:r>
      <w:r w:rsidR="002E10F6">
        <w:rPr>
          <w:rStyle w:val="normaltextrun"/>
          <w:bCs/>
          <w:i/>
          <w:iCs/>
          <w:color w:val="E5004D"/>
          <w:shd w:val="clear" w:color="auto" w:fill="FFFFFF"/>
        </w:rPr>
        <w:t>e m</w:t>
      </w:r>
      <w:r w:rsidR="00A22B83">
        <w:rPr>
          <w:rStyle w:val="normaltextrun"/>
          <w:bCs/>
          <w:i/>
          <w:iCs/>
          <w:color w:val="E5004D"/>
          <w:shd w:val="clear" w:color="auto" w:fill="FFFFFF"/>
        </w:rPr>
        <w:t xml:space="preserve">aintien du locataire dans son logement lui permet </w:t>
      </w:r>
      <w:r w:rsidR="002E10F6">
        <w:rPr>
          <w:rStyle w:val="normaltextrun"/>
          <w:bCs/>
          <w:i/>
          <w:iCs/>
          <w:color w:val="E5004D"/>
          <w:shd w:val="clear" w:color="auto" w:fill="FFFFFF"/>
        </w:rPr>
        <w:t xml:space="preserve">de rester dans un environnement familier et ne pas gérer un déménagement ; </w:t>
      </w:r>
    </w:p>
    <w:p w14:paraId="058F62F0" w14:textId="6D2AD98D" w:rsidR="002E10F6" w:rsidRDefault="00836517" w:rsidP="00A22B8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l</w:t>
      </w:r>
      <w:r w:rsidR="008205E3">
        <w:rPr>
          <w:rStyle w:val="normaltextrun"/>
          <w:bCs/>
          <w:i/>
          <w:iCs/>
          <w:color w:val="E5004D"/>
          <w:shd w:val="clear" w:color="auto" w:fill="FFFFFF"/>
        </w:rPr>
        <w:t xml:space="preserve">a SISP ne doit pas gérer de nombreux déménagements ; </w:t>
      </w:r>
    </w:p>
    <w:p w14:paraId="0ED60A3F" w14:textId="5BABB833" w:rsidR="008205E3" w:rsidRDefault="00836517" w:rsidP="00A22B8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r</w:t>
      </w:r>
      <w:r w:rsidR="00B3216D">
        <w:rPr>
          <w:rStyle w:val="normaltextrun"/>
          <w:bCs/>
          <w:i/>
          <w:iCs/>
          <w:color w:val="E5004D"/>
          <w:shd w:val="clear" w:color="auto" w:fill="FFFFFF"/>
        </w:rPr>
        <w:t xml:space="preserve">evenu locatif assuré pour la SISP pendant la durée du chantier ; </w:t>
      </w:r>
    </w:p>
    <w:p w14:paraId="45FD41DA" w14:textId="35C0ABD8" w:rsidR="00836517" w:rsidRDefault="001F662E" w:rsidP="00A22B8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un immeuble habité réduit les risques liés au vandalisme ; </w:t>
      </w:r>
    </w:p>
    <w:p w14:paraId="3721F178" w14:textId="01771CC7" w:rsidR="001F662E" w:rsidRDefault="001F662E" w:rsidP="00A22B8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le maintien des locataires </w:t>
      </w:r>
      <w:r w:rsidR="00C100ED">
        <w:rPr>
          <w:rStyle w:val="normaltextrun"/>
          <w:bCs/>
          <w:i/>
          <w:iCs/>
          <w:color w:val="E5004D"/>
          <w:shd w:val="clear" w:color="auto" w:fill="FFFFFF"/>
        </w:rPr>
        <w:t xml:space="preserve">permet de déployer une stratégie de participation à long termes ; </w:t>
      </w:r>
    </w:p>
    <w:p w14:paraId="44DBF51C" w14:textId="58078477" w:rsidR="00C100ED" w:rsidRPr="00C100ED" w:rsidRDefault="00C100ED" w:rsidP="00C100E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etc. </w:t>
      </w:r>
    </w:p>
    <w:p w14:paraId="446DC171" w14:textId="77777777" w:rsidR="0023251C" w:rsidRDefault="0023251C" w:rsidP="004A3B05">
      <w:pPr>
        <w:spacing w:after="0" w:line="240" w:lineRule="auto"/>
        <w:jc w:val="both"/>
        <w:rPr>
          <w:bCs/>
          <w:lang w:val="fr-FR"/>
        </w:rPr>
      </w:pPr>
    </w:p>
    <w:p w14:paraId="6D0F6DF5" w14:textId="28CDE117" w:rsidR="004A3B05" w:rsidRPr="00D6198A" w:rsidRDefault="001E185D" w:rsidP="00D6198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 w:rsidRPr="00D6198A"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>DISPOSITIONS ORGANISATIONNELLES :</w:t>
      </w:r>
    </w:p>
    <w:p w14:paraId="51C13433" w14:textId="77777777" w:rsidR="00AE446B" w:rsidRDefault="00AE446B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437B7226" w14:textId="77777777" w:rsidR="00AE446B" w:rsidRDefault="00AE446B" w:rsidP="00AE446B">
      <w:pPr>
        <w:spacing w:after="0" w:line="240" w:lineRule="auto"/>
        <w:jc w:val="both"/>
        <w:rPr>
          <w:rStyle w:val="normaltextrun"/>
          <w:b/>
          <w:bCs/>
          <w:i/>
          <w:iCs/>
          <w:color w:val="E5004D"/>
          <w:shd w:val="clear" w:color="auto" w:fill="FFFFFF"/>
        </w:rPr>
      </w:pPr>
      <w:r>
        <w:rPr>
          <w:rStyle w:val="normaltextrun"/>
          <w:b/>
          <w:bCs/>
          <w:i/>
          <w:iCs/>
          <w:color w:val="E5004D"/>
          <w:shd w:val="clear" w:color="auto" w:fill="FFFFFF"/>
        </w:rPr>
        <w:t xml:space="preserve">Suivant la spécificité des travaux projetés, cette partie peut comprendre les précisions suivantes : </w:t>
      </w:r>
    </w:p>
    <w:p w14:paraId="59001CEE" w14:textId="77777777" w:rsidR="00AE446B" w:rsidRDefault="00AE446B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31A23882" w14:textId="77777777" w:rsidR="004A3B05" w:rsidRPr="00C24FE2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 xml:space="preserve">Moyens mis en place par la SISP </w:t>
      </w:r>
    </w:p>
    <w:p w14:paraId="375E9311" w14:textId="77777777" w:rsidR="004A3B05" w:rsidRDefault="004A3B05" w:rsidP="004A3B05">
      <w:pPr>
        <w:spacing w:after="0" w:line="240" w:lineRule="auto"/>
        <w:jc w:val="both"/>
        <w:rPr>
          <w:b/>
          <w:u w:val="single"/>
          <w:lang w:val="fr-FR"/>
        </w:rPr>
      </w:pPr>
    </w:p>
    <w:p w14:paraId="423CC3B9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5ACE2E92" w14:textId="0432180D" w:rsidR="004A3B05" w:rsidRPr="00334EE4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t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>ype de communication mise en place et</w:t>
      </w:r>
      <w:r w:rsidR="00F62BCB">
        <w:rPr>
          <w:rStyle w:val="normaltextrun"/>
          <w:bCs/>
          <w:i/>
          <w:iCs/>
          <w:color w:val="E5004D"/>
          <w:shd w:val="clear" w:color="auto" w:fill="FFFFFF"/>
        </w:rPr>
        <w:t>/ou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 attendue avec les locataires ; </w:t>
      </w:r>
    </w:p>
    <w:p w14:paraId="32DD8389" w14:textId="1FA428E6" w:rsidR="004A3B05" w:rsidRPr="00334EE4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p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>résence ou pas d’un ASC et précision de ses missions (avant, pendant et après</w:t>
      </w:r>
      <w:r w:rsidR="00F62BCB">
        <w:rPr>
          <w:rStyle w:val="normaltextrun"/>
          <w:bCs/>
          <w:i/>
          <w:iCs/>
          <w:color w:val="E5004D"/>
          <w:shd w:val="clear" w:color="auto" w:fill="FFFFFF"/>
        </w:rPr>
        <w:t xml:space="preserve"> travaux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) ; </w:t>
      </w:r>
    </w:p>
    <w:p w14:paraId="770BF934" w14:textId="2D46EFFA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</w:rPr>
      </w:pPr>
      <w:r>
        <w:rPr>
          <w:rStyle w:val="normaltextrun"/>
          <w:i/>
          <w:iCs/>
          <w:color w:val="E5004D"/>
        </w:rPr>
        <w:t>a</w:t>
      </w:r>
      <w:r w:rsidR="004A3B05">
        <w:rPr>
          <w:rStyle w:val="normaltextrun"/>
          <w:i/>
          <w:iCs/>
          <w:color w:val="E5004D"/>
        </w:rPr>
        <w:t xml:space="preserve">ppartement relais ou refuge mis à disposition des locataires ; </w:t>
      </w:r>
    </w:p>
    <w:p w14:paraId="1F5D3AA3" w14:textId="2F132BD8" w:rsidR="004A3B05" w:rsidRPr="007A0C2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rStyle w:val="normaltextrun"/>
          <w:i/>
          <w:iCs/>
          <w:color w:val="E5004D"/>
        </w:rPr>
        <w:t>e</w:t>
      </w:r>
      <w:r w:rsidR="007A0C25" w:rsidRPr="007A0C25">
        <w:rPr>
          <w:rStyle w:val="normaltextrun"/>
          <w:i/>
          <w:iCs/>
          <w:color w:val="E5004D"/>
        </w:rPr>
        <w:t xml:space="preserve">tc. </w:t>
      </w:r>
    </w:p>
    <w:p w14:paraId="569F3802" w14:textId="77777777" w:rsidR="004A3B05" w:rsidRDefault="004A3B05" w:rsidP="004A3B05">
      <w:pPr>
        <w:spacing w:after="0" w:line="240" w:lineRule="auto"/>
        <w:jc w:val="both"/>
        <w:rPr>
          <w:bCs/>
          <w:lang w:val="fr-FR"/>
        </w:rPr>
      </w:pPr>
    </w:p>
    <w:p w14:paraId="353498CB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>
        <w:rPr>
          <w:b/>
          <w:u w:val="single"/>
          <w:lang w:val="fr-FR"/>
        </w:rPr>
        <w:t>Dispositions à prendre par l’adjudicataire</w:t>
      </w:r>
    </w:p>
    <w:p w14:paraId="3DD66516" w14:textId="77777777" w:rsidR="004A3B05" w:rsidRDefault="004A3B05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</w:pPr>
    </w:p>
    <w:p w14:paraId="64F0BF74" w14:textId="77777777" w:rsidR="004A3B05" w:rsidRPr="001A0989" w:rsidRDefault="004A3B05" w:rsidP="004A3B05">
      <w:pPr>
        <w:spacing w:after="0" w:line="240" w:lineRule="auto"/>
        <w:jc w:val="both"/>
        <w:rPr>
          <w:rStyle w:val="normaltextrun"/>
          <w:bCs/>
          <w:color w:val="E5004D"/>
          <w:shd w:val="clear" w:color="auto" w:fill="FFFFFF"/>
        </w:rPr>
      </w:pPr>
      <w:r w:rsidRPr="001A0989">
        <w:rPr>
          <w:rStyle w:val="normaltextrun"/>
          <w:bCs/>
          <w:shd w:val="clear" w:color="auto" w:fill="FFFFFF"/>
        </w:rPr>
        <w:t>L’adjudicataire devra respecter</w:t>
      </w:r>
      <w:r>
        <w:rPr>
          <w:rStyle w:val="normaltextrun"/>
          <w:bCs/>
          <w:shd w:val="clear" w:color="auto" w:fill="FFFFFF"/>
        </w:rPr>
        <w:t xml:space="preserve"> les prescriptions de l’adjudicateur durant toute la durée du chantier. </w:t>
      </w:r>
      <w:r w:rsidRPr="001A0989">
        <w:rPr>
          <w:rStyle w:val="normaltextrun"/>
          <w:bCs/>
          <w:shd w:val="clear" w:color="auto" w:fill="FFFFFF"/>
        </w:rPr>
        <w:t xml:space="preserve"> </w:t>
      </w:r>
    </w:p>
    <w:p w14:paraId="02EDA368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71A26D39" w14:textId="77777777" w:rsidR="004A3B05" w:rsidRPr="00334EE4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187D018C" w14:textId="632BBD29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lastRenderedPageBreak/>
        <w:t>r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>éunions attendues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à des étapes clé du chantier : 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 </w:t>
      </w:r>
      <w:r w:rsidR="004A3B05" w:rsidRPr="67A7EA16">
        <w:rPr>
          <w:rStyle w:val="normaltextrun"/>
          <w:i/>
          <w:iCs/>
          <w:color w:val="E5004D"/>
          <w:shd w:val="clear" w:color="auto" w:fill="FFFFFF"/>
        </w:rPr>
        <w:t>(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réunion kick-off, préparatoires, séance(s) d’information aux locataires,..) ; </w:t>
      </w:r>
    </w:p>
    <w:p w14:paraId="39FE290D" w14:textId="726C31E0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l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isting mensuel précis d’intervention dans les logements habités à transmettre à l’adjudicataire (localisation des appartements, type d’intervention, durée,..) ; </w:t>
      </w:r>
    </w:p>
    <w:p w14:paraId="6679B036" w14:textId="2640D8BA" w:rsidR="004A3B05" w:rsidRPr="00BC78E9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Marquedecommentaire"/>
          <w:i/>
          <w:iCs/>
          <w:color w:val="E5004D"/>
          <w:sz w:val="20"/>
          <w:szCs w:val="20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lanning global </w:t>
      </w:r>
      <w:r w:rsidR="004A3B05" w:rsidRPr="00E072C2">
        <w:rPr>
          <w:rStyle w:val="normaltextrun"/>
          <w:i/>
          <w:iCs/>
          <w:color w:val="E5004D"/>
          <w:u w:val="single"/>
          <w:shd w:val="clear" w:color="auto" w:fill="FFFFFF"/>
        </w:rPr>
        <w:t>simplifié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à destination des locataires et identifiant clairement les zones d’intervention </w:t>
      </w:r>
      <w:r w:rsidR="004A3B05">
        <w:rPr>
          <w:rStyle w:val="Marquedecommentaire"/>
        </w:rPr>
        <w:t>;</w:t>
      </w:r>
    </w:p>
    <w:p w14:paraId="6569F54F" w14:textId="1C05FF34" w:rsidR="004A3B05" w:rsidRPr="00E6403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lans de chaque logement identifiant clairement les zones d’intervention ; </w:t>
      </w:r>
    </w:p>
    <w:p w14:paraId="47988FC3" w14:textId="43A1B52F" w:rsidR="004A3B05" w:rsidRPr="00765AC0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r</w:t>
      </w:r>
      <w:r w:rsidR="004A3B05" w:rsidRPr="00765AC0">
        <w:rPr>
          <w:rStyle w:val="normaltextrun"/>
          <w:i/>
          <w:iCs/>
          <w:color w:val="E5004D"/>
          <w:shd w:val="clear" w:color="auto" w:fill="FFFFFF"/>
        </w:rPr>
        <w:t>espect des horaires de travail</w:t>
      </w:r>
      <w:r w:rsidR="00C74F68">
        <w:rPr>
          <w:rStyle w:val="normaltextrun"/>
          <w:i/>
          <w:iCs/>
          <w:color w:val="E5004D"/>
          <w:shd w:val="clear" w:color="auto" w:fill="FFFFFF"/>
        </w:rPr>
        <w:t xml:space="preserve"> particulièrement dans les logements</w:t>
      </w:r>
      <w:r w:rsidR="004A3B05" w:rsidRPr="00765AC0">
        <w:rPr>
          <w:rStyle w:val="normaltextrun"/>
          <w:i/>
          <w:iCs/>
          <w:color w:val="E5004D"/>
          <w:shd w:val="clear" w:color="auto" w:fill="FFFFFF"/>
        </w:rPr>
        <w:t xml:space="preserve"> ; </w:t>
      </w:r>
    </w:p>
    <w:p w14:paraId="42D0109E" w14:textId="0706F908" w:rsidR="004A3B05" w:rsidRPr="009928D4" w:rsidRDefault="008104A0" w:rsidP="008104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etc.</w:t>
      </w:r>
    </w:p>
    <w:p w14:paraId="431A6300" w14:textId="77777777" w:rsidR="004A3B05" w:rsidRDefault="004A3B0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609D059A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>Procédure</w:t>
      </w:r>
      <w:r>
        <w:rPr>
          <w:b/>
          <w:u w:val="single"/>
          <w:lang w:val="fr-FR"/>
        </w:rPr>
        <w:t>s </w:t>
      </w:r>
    </w:p>
    <w:p w14:paraId="02ECC7A1" w14:textId="77777777" w:rsidR="004A3B05" w:rsidRDefault="004A3B05" w:rsidP="004A3B05">
      <w:pPr>
        <w:spacing w:after="0" w:line="240" w:lineRule="auto"/>
        <w:jc w:val="both"/>
        <w:rPr>
          <w:b/>
          <w:u w:val="single"/>
          <w:lang w:val="fr-FR"/>
        </w:rPr>
      </w:pPr>
    </w:p>
    <w:p w14:paraId="50B3276E" w14:textId="4625487B" w:rsidR="004A3B05" w:rsidRPr="0068737B" w:rsidRDefault="004A3B05" w:rsidP="0068737B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Si le dossier comporte </w:t>
      </w:r>
      <w:r w:rsidR="008104A0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un </w:t>
      </w:r>
      <w:hyperlink r:id="rId12" w:history="1">
        <w:r w:rsidRPr="00FD053E">
          <w:rPr>
            <w:rStyle w:val="Lienhypertexte"/>
            <w:bCs/>
            <w:i/>
            <w:iCs/>
            <w:color w:val="E5004D"/>
            <w:shd w:val="clear" w:color="auto" w:fill="FFFFFF"/>
          </w:rPr>
          <w:t>inventaire logement</w:t>
        </w:r>
      </w:hyperlink>
      <w:r w:rsidRPr="00FD053E">
        <w:rPr>
          <w:rStyle w:val="normaltextrun"/>
          <w:bCs/>
          <w:i/>
          <w:iCs/>
          <w:color w:val="E5004D"/>
          <w:shd w:val="clear" w:color="auto" w:fill="FFFFFF"/>
        </w:rPr>
        <w:t>, la SISP</w:t>
      </w:r>
      <w:r w:rsidR="008104A0" w:rsidRPr="00FD053E">
        <w:rPr>
          <w:rStyle w:val="normaltextrun"/>
          <w:bCs/>
          <w:i/>
          <w:iCs/>
          <w:color w:val="E5004D"/>
          <w:shd w:val="clear" w:color="auto" w:fill="FFFFFF"/>
        </w:rPr>
        <w:t xml:space="preserve"> </w:t>
      </w:r>
      <w:r w:rsidR="008104A0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peut y faire référence </w:t>
      </w:r>
      <w:r w:rsidR="0068737B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pour les informations liées aux locataires. </w:t>
      </w:r>
    </w:p>
    <w:p w14:paraId="03FC8CCB" w14:textId="77777777" w:rsidR="004A3B05" w:rsidRPr="002C6BBC" w:rsidRDefault="004A3B05" w:rsidP="004A3B05">
      <w:pPr>
        <w:spacing w:after="0" w:line="240" w:lineRule="auto"/>
        <w:jc w:val="both"/>
        <w:rPr>
          <w:bCs/>
          <w:lang w:val="fr-FR"/>
        </w:rPr>
      </w:pPr>
    </w:p>
    <w:p w14:paraId="0AB20C75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41D6047B" w14:textId="1BCCF053" w:rsidR="004A3B05" w:rsidRPr="00AD6274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rocédure d’intervention en logement habité (communication générale, réunions d’information, première visite du logement, prise de rendez-vous pour travaux </w:t>
      </w:r>
      <w:r w:rsidR="003003D6">
        <w:rPr>
          <w:rStyle w:val="normaltextrun"/>
          <w:i/>
          <w:iCs/>
          <w:color w:val="E5004D"/>
          <w:shd w:val="clear" w:color="auto" w:fill="FFFFFF"/>
        </w:rPr>
        <w:t>a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u moyen le cas échéant de l’inventaire logement) ; </w:t>
      </w:r>
    </w:p>
    <w:p w14:paraId="4A76BA6D" w14:textId="151D64DA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rocédure en cas de déménagement ; </w:t>
      </w:r>
    </w:p>
    <w:p w14:paraId="47DAB5F9" w14:textId="535F6197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rocédure envisagée en cas de refus d’accès au logement de la part du locataire </w:t>
      </w:r>
      <w:r w:rsidR="00805D03">
        <w:rPr>
          <w:rStyle w:val="normaltextrun"/>
          <w:i/>
          <w:iCs/>
          <w:color w:val="E5004D"/>
          <w:shd w:val="clear" w:color="auto" w:fill="FFFFFF"/>
        </w:rPr>
        <w:t>- ;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</w:t>
      </w:r>
    </w:p>
    <w:p w14:paraId="5BE0D48A" w14:textId="471AAE85" w:rsidR="004A3B05" w:rsidRPr="0023251C" w:rsidRDefault="0023251C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  <w:lang w:val="fr-FR"/>
        </w:rPr>
      </w:pPr>
      <w:r>
        <w:rPr>
          <w:i/>
          <w:iCs/>
          <w:color w:val="E5004D"/>
          <w:shd w:val="clear" w:color="auto" w:fill="FFFFFF"/>
        </w:rPr>
        <w:t xml:space="preserve">etc. </w:t>
      </w:r>
    </w:p>
    <w:p w14:paraId="2E6CDB2D" w14:textId="77777777" w:rsidR="0023251C" w:rsidRDefault="0023251C" w:rsidP="0023251C">
      <w:pPr>
        <w:pStyle w:val="Paragraphedeliste"/>
        <w:spacing w:after="0" w:line="240" w:lineRule="auto"/>
        <w:jc w:val="both"/>
        <w:rPr>
          <w:b/>
          <w:u w:val="single"/>
          <w:lang w:val="fr-FR"/>
        </w:rPr>
      </w:pPr>
    </w:p>
    <w:p w14:paraId="3D9F93AE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663AE8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 w:rsidRPr="00B018B8">
        <w:rPr>
          <w:rStyle w:val="normaltextrun"/>
          <w:b/>
          <w:bCs/>
          <w:sz w:val="22"/>
          <w:szCs w:val="22"/>
          <w:shd w:val="clear" w:color="auto" w:fill="FFFFFF"/>
        </w:rPr>
        <w:t xml:space="preserve"> </w:t>
      </w:r>
      <w:r w:rsidRPr="00B018B8">
        <w:rPr>
          <w:b/>
          <w:u w:val="single"/>
          <w:lang w:val="fr-FR"/>
        </w:rPr>
        <w:t xml:space="preserve">Méthodologie d’exécution du chantier  </w:t>
      </w:r>
    </w:p>
    <w:p w14:paraId="6ADF49C5" w14:textId="77777777" w:rsidR="00335EAE" w:rsidRDefault="00335EAE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</w:p>
    <w:p w14:paraId="021FDE49" w14:textId="0031AD25" w:rsidR="00335EAE" w:rsidRPr="00FD053E" w:rsidRDefault="00335EAE" w:rsidP="00335EAE">
      <w:pPr>
        <w:spacing w:after="0" w:line="240" w:lineRule="auto"/>
        <w:jc w:val="both"/>
        <w:rPr>
          <w:b/>
          <w:bCs/>
          <w:i/>
          <w:color w:val="E5004D"/>
          <w:shd w:val="clear" w:color="auto" w:fill="FFFFFF"/>
        </w:rPr>
      </w:pPr>
      <w:r w:rsidRPr="00FD053E">
        <w:rPr>
          <w:b/>
          <w:bCs/>
          <w:i/>
          <w:color w:val="E5004D"/>
          <w:shd w:val="clear" w:color="auto" w:fill="FFFFFF"/>
        </w:rPr>
        <w:t xml:space="preserve">Si une </w:t>
      </w:r>
      <w:hyperlink r:id="rId13" w:history="1">
        <w:r w:rsidRPr="00FD053E">
          <w:rPr>
            <w:rStyle w:val="Lienhypertexte"/>
            <w:b/>
            <w:bCs/>
            <w:i/>
            <w:color w:val="E5004D"/>
            <w:shd w:val="clear" w:color="auto" w:fill="FFFFFF"/>
          </w:rPr>
          <w:t>note méthodologique</w:t>
        </w:r>
      </w:hyperlink>
      <w:r w:rsidRPr="00FD053E">
        <w:rPr>
          <w:b/>
          <w:bCs/>
          <w:i/>
          <w:color w:val="E5004D"/>
          <w:shd w:val="clear" w:color="auto" w:fill="FFFFFF"/>
        </w:rPr>
        <w:t xml:space="preserve"> est demandée</w:t>
      </w:r>
      <w:r w:rsidR="00251753" w:rsidRPr="00FD053E">
        <w:rPr>
          <w:b/>
          <w:bCs/>
          <w:i/>
          <w:color w:val="E5004D"/>
          <w:shd w:val="clear" w:color="auto" w:fill="FFFFFF"/>
        </w:rPr>
        <w:t xml:space="preserve"> à l’entreprise</w:t>
      </w:r>
      <w:r w:rsidRPr="00FD053E">
        <w:rPr>
          <w:b/>
          <w:bCs/>
          <w:i/>
          <w:color w:val="E5004D"/>
          <w:shd w:val="clear" w:color="auto" w:fill="FFFFFF"/>
        </w:rPr>
        <w:t xml:space="preserve">, les informations ci-dessous peuvent y être reprises. </w:t>
      </w:r>
    </w:p>
    <w:p w14:paraId="2DF14D02" w14:textId="77777777" w:rsidR="004A3B05" w:rsidRPr="00251753" w:rsidRDefault="004A3B05" w:rsidP="004A3B05">
      <w:pPr>
        <w:spacing w:after="0" w:line="240" w:lineRule="auto"/>
        <w:jc w:val="both"/>
        <w:rPr>
          <w:bCs/>
        </w:rPr>
      </w:pPr>
    </w:p>
    <w:p w14:paraId="1D24148E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723F94CB" w14:textId="007D4F35" w:rsidR="004A3B05" w:rsidRPr="00FA6BEE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00FA6BEE">
        <w:rPr>
          <w:rStyle w:val="normaltextrun"/>
          <w:i/>
          <w:iCs/>
          <w:color w:val="E5004D"/>
          <w:shd w:val="clear" w:color="auto" w:fill="FFFFFF"/>
        </w:rPr>
        <w:t xml:space="preserve">ode d’exécution permettant de conserver l’habitabilité des logements ; </w:t>
      </w:r>
    </w:p>
    <w:p w14:paraId="0C3C13A1" w14:textId="5B0977D6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t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ravaux à réaliser en priorité (ex : installation de nouvelles colonnes de distribution de chauffage pour faciliter le raccord individuel...) ; </w:t>
      </w:r>
    </w:p>
    <w:p w14:paraId="77C9BFE8" w14:textId="65EAB070" w:rsidR="004A3B05" w:rsidRPr="00D1405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ise en place d’un </w:t>
      </w:r>
      <w:proofErr w:type="spellStart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>mock</w:t>
      </w:r>
      <w:proofErr w:type="spellEnd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-up afin de limiter les désagréments liés au caractère intrusif des travaux tant à l’intérieur comme à l’extérieur des logements ; </w:t>
      </w:r>
    </w:p>
    <w:p w14:paraId="11D41EDF" w14:textId="754489C8" w:rsidR="004A3B05" w:rsidRPr="00D1405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ise en place d’un appartement témoin ; </w:t>
      </w:r>
    </w:p>
    <w:p w14:paraId="11B10098" w14:textId="0CBBE3D8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d</w:t>
      </w:r>
      <w:r w:rsidR="004A3B05" w:rsidRPr="00D1405F">
        <w:rPr>
          <w:rStyle w:val="normaltextrun"/>
          <w:i/>
          <w:iCs/>
          <w:color w:val="E5004D"/>
          <w:shd w:val="clear" w:color="auto" w:fill="FFFFFF"/>
        </w:rPr>
        <w:t>escription de la gestion des gênes occasionnées pour limiter les désagréments au sein du logement et de ses habitants et du minimum acceptable (ex : coupures des réseaux</w:t>
      </w:r>
      <w:r w:rsidR="006F6AA2">
        <w:rPr>
          <w:rStyle w:val="normaltextrun"/>
          <w:i/>
          <w:iCs/>
          <w:color w:val="E5004D"/>
          <w:shd w:val="clear" w:color="auto" w:fill="FFFFFF"/>
        </w:rPr>
        <w:t xml:space="preserve"> ; </w:t>
      </w:r>
    </w:p>
    <w:p w14:paraId="41181C38" w14:textId="2DE8AFBB" w:rsidR="006F6AA2" w:rsidRPr="00D1405F" w:rsidRDefault="006F6AA2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 xml:space="preserve">etc. </w:t>
      </w:r>
    </w:p>
    <w:p w14:paraId="6C84D548" w14:textId="77777777" w:rsidR="000A5F65" w:rsidRDefault="000A5F6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781B848F" w14:textId="77777777" w:rsidR="004A3B05" w:rsidRPr="00C24FE2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 xml:space="preserve">Précautions </w:t>
      </w:r>
      <w:r>
        <w:rPr>
          <w:b/>
          <w:u w:val="single"/>
          <w:lang w:val="fr-FR"/>
        </w:rPr>
        <w:t xml:space="preserve">supplémentaires </w:t>
      </w:r>
      <w:r w:rsidRPr="00C24FE2">
        <w:rPr>
          <w:b/>
          <w:u w:val="single"/>
          <w:lang w:val="fr-FR"/>
        </w:rPr>
        <w:t>à prendre par l’adjudicataire</w:t>
      </w:r>
    </w:p>
    <w:p w14:paraId="52B95197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04FD2943" w14:textId="61F8A166" w:rsidR="005B7295" w:rsidRDefault="005B7295" w:rsidP="005B7295">
      <w:pPr>
        <w:spacing w:after="0" w:line="240" w:lineRule="auto"/>
        <w:jc w:val="both"/>
        <w:rPr>
          <w:b/>
          <w:bCs/>
          <w:i/>
          <w:iCs/>
          <w:color w:val="E5004D"/>
          <w:shd w:val="clear" w:color="auto" w:fill="FFFFFF"/>
        </w:rPr>
      </w:pPr>
      <w:r w:rsidRPr="6D24B260">
        <w:rPr>
          <w:b/>
          <w:bCs/>
          <w:i/>
          <w:iCs/>
          <w:color w:val="E5004D"/>
          <w:shd w:val="clear" w:color="auto" w:fill="FFFFFF"/>
        </w:rPr>
        <w:t xml:space="preserve">Si une </w:t>
      </w:r>
      <w:hyperlink r:id="rId14" w:history="1">
        <w:r w:rsidR="000E73EE" w:rsidRPr="00FD053E">
          <w:rPr>
            <w:rStyle w:val="Lienhypertexte"/>
            <w:b/>
            <w:bCs/>
            <w:i/>
            <w:color w:val="E5004D"/>
            <w:shd w:val="clear" w:color="auto" w:fill="FFFFFF"/>
          </w:rPr>
          <w:t>note méthodologique</w:t>
        </w:r>
      </w:hyperlink>
      <w:r w:rsidR="000E73EE" w:rsidRPr="00FD053E">
        <w:rPr>
          <w:b/>
          <w:bCs/>
          <w:i/>
          <w:color w:val="E5004D"/>
          <w:shd w:val="clear" w:color="auto" w:fill="FFFFFF"/>
        </w:rPr>
        <w:t xml:space="preserve"> </w:t>
      </w:r>
      <w:r w:rsidRPr="00FD053E">
        <w:rPr>
          <w:b/>
          <w:bCs/>
          <w:i/>
          <w:iCs/>
          <w:color w:val="E5004D"/>
          <w:shd w:val="clear" w:color="auto" w:fill="FFFFFF"/>
        </w:rPr>
        <w:t xml:space="preserve">est </w:t>
      </w:r>
      <w:r w:rsidRPr="6D24B260">
        <w:rPr>
          <w:b/>
          <w:bCs/>
          <w:i/>
          <w:iCs/>
          <w:color w:val="E5004D"/>
          <w:shd w:val="clear" w:color="auto" w:fill="FFFFFF"/>
        </w:rPr>
        <w:t xml:space="preserve">demandée, les informations ci-dessous peuvent y être reprises. </w:t>
      </w:r>
    </w:p>
    <w:p w14:paraId="72C71B82" w14:textId="77777777" w:rsidR="005B7295" w:rsidRDefault="005B729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2A7C0093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064B3556" w14:textId="49A4ECED" w:rsidR="004A3B05" w:rsidRPr="000878F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000878FF">
        <w:rPr>
          <w:rStyle w:val="normaltextrun"/>
          <w:i/>
          <w:iCs/>
          <w:color w:val="E5004D"/>
          <w:shd w:val="clear" w:color="auto" w:fill="FFFFFF"/>
        </w:rPr>
        <w:t>ode de déplacement des matériaux, outils, autorisés en fonction du type de bâtiment et de l’objet des travaux</w:t>
      </w:r>
      <w:r w:rsidR="004A3B05">
        <w:rPr>
          <w:rStyle w:val="normaltextrun"/>
          <w:i/>
          <w:iCs/>
          <w:color w:val="E5004D"/>
          <w:shd w:val="clear" w:color="auto" w:fill="FFFFFF"/>
        </w:rPr>
        <w:t> ;</w:t>
      </w:r>
    </w:p>
    <w:p w14:paraId="2D37F328" w14:textId="420C5986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r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espect des règles sanitaires en vigueur lors de l’exécution du chantier ; </w:t>
      </w:r>
    </w:p>
    <w:p w14:paraId="57BA63CE" w14:textId="613AC492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c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onditions de mise en œuvre (confirmation de livraison des châssis, accessoires d’utilisation, apport de ventilation naturelle suffisant,…) ; </w:t>
      </w:r>
    </w:p>
    <w:p w14:paraId="27EEA0B6" w14:textId="7E3B991B" w:rsidR="000A5F65" w:rsidRDefault="000A5F65" w:rsidP="005B729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Style w:val="normaltextrun"/>
          <w:i/>
          <w:iCs/>
          <w:color w:val="E5004D"/>
          <w:shd w:val="clear" w:color="auto" w:fill="FFFFFF"/>
        </w:rPr>
        <w:t xml:space="preserve">etc. </w:t>
      </w:r>
    </w:p>
    <w:sectPr w:rsidR="000A5F65" w:rsidSect="00A360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0E82" w14:textId="77777777" w:rsidR="0045478D" w:rsidRDefault="0045478D" w:rsidP="001A66C2">
      <w:pPr>
        <w:spacing w:after="0" w:line="240" w:lineRule="auto"/>
      </w:pPr>
      <w:r>
        <w:separator/>
      </w:r>
    </w:p>
  </w:endnote>
  <w:endnote w:type="continuationSeparator" w:id="0">
    <w:p w14:paraId="11B81990" w14:textId="77777777" w:rsidR="0045478D" w:rsidRDefault="0045478D" w:rsidP="001A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285A" w14:textId="77777777" w:rsidR="001A66C2" w:rsidRDefault="001A66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3066" w14:textId="5EA692C0" w:rsidR="001A66C2" w:rsidRDefault="001A66C2">
    <w:pPr>
      <w:pStyle w:val="Pieddepage"/>
    </w:pPr>
    <w:r>
      <w:t>Annexe A2_06-2026</w:t>
    </w:r>
  </w:p>
  <w:p w14:paraId="2422F41F" w14:textId="77777777" w:rsidR="001A66C2" w:rsidRDefault="001A66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6E60" w14:textId="77777777" w:rsidR="001A66C2" w:rsidRDefault="001A66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F698" w14:textId="77777777" w:rsidR="0045478D" w:rsidRDefault="0045478D" w:rsidP="001A66C2">
      <w:pPr>
        <w:spacing w:after="0" w:line="240" w:lineRule="auto"/>
      </w:pPr>
      <w:r>
        <w:separator/>
      </w:r>
    </w:p>
  </w:footnote>
  <w:footnote w:type="continuationSeparator" w:id="0">
    <w:p w14:paraId="3A2D0A2A" w14:textId="77777777" w:rsidR="0045478D" w:rsidRDefault="0045478D" w:rsidP="001A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DE6C" w14:textId="77777777" w:rsidR="001A66C2" w:rsidRDefault="001A66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B8F9" w14:textId="77777777" w:rsidR="001A66C2" w:rsidRDefault="001A66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E97" w14:textId="77777777" w:rsidR="001A66C2" w:rsidRDefault="001A66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E4C"/>
    <w:multiLevelType w:val="hybridMultilevel"/>
    <w:tmpl w:val="B96C047C"/>
    <w:lvl w:ilvl="0" w:tplc="216228C0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62A9"/>
    <w:multiLevelType w:val="hybridMultilevel"/>
    <w:tmpl w:val="3336EC12"/>
    <w:lvl w:ilvl="0" w:tplc="0980D50E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  <w:i/>
        <w:color w:val="E5004D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52E0"/>
    <w:multiLevelType w:val="hybridMultilevel"/>
    <w:tmpl w:val="EDB618E2"/>
    <w:lvl w:ilvl="0" w:tplc="2FA65A3A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0F0C"/>
    <w:multiLevelType w:val="hybridMultilevel"/>
    <w:tmpl w:val="08644C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37F0"/>
    <w:multiLevelType w:val="hybridMultilevel"/>
    <w:tmpl w:val="58B8FB46"/>
    <w:lvl w:ilvl="0" w:tplc="DC4E534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919F9"/>
    <w:multiLevelType w:val="hybridMultilevel"/>
    <w:tmpl w:val="82600E92"/>
    <w:lvl w:ilvl="0" w:tplc="940CFF02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3150">
    <w:abstractNumId w:val="4"/>
  </w:num>
  <w:num w:numId="2" w16cid:durableId="1384401030">
    <w:abstractNumId w:val="0"/>
  </w:num>
  <w:num w:numId="3" w16cid:durableId="1602058277">
    <w:abstractNumId w:val="3"/>
  </w:num>
  <w:num w:numId="4" w16cid:durableId="1940605713">
    <w:abstractNumId w:val="1"/>
  </w:num>
  <w:num w:numId="5" w16cid:durableId="194855238">
    <w:abstractNumId w:val="5"/>
  </w:num>
  <w:num w:numId="6" w16cid:durableId="19662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5"/>
    <w:rsid w:val="00042FDF"/>
    <w:rsid w:val="0004629B"/>
    <w:rsid w:val="000975CE"/>
    <w:rsid w:val="000A5F65"/>
    <w:rsid w:val="000E1EE9"/>
    <w:rsid w:val="000E73EE"/>
    <w:rsid w:val="001211D4"/>
    <w:rsid w:val="00150607"/>
    <w:rsid w:val="00152901"/>
    <w:rsid w:val="00160F62"/>
    <w:rsid w:val="00162DFC"/>
    <w:rsid w:val="001A66C2"/>
    <w:rsid w:val="001E185D"/>
    <w:rsid w:val="001F3058"/>
    <w:rsid w:val="001F662E"/>
    <w:rsid w:val="00205C51"/>
    <w:rsid w:val="00227B0F"/>
    <w:rsid w:val="0023251C"/>
    <w:rsid w:val="00251753"/>
    <w:rsid w:val="002568AB"/>
    <w:rsid w:val="00261EA5"/>
    <w:rsid w:val="00292933"/>
    <w:rsid w:val="002C1B81"/>
    <w:rsid w:val="002C3EB3"/>
    <w:rsid w:val="002E10F6"/>
    <w:rsid w:val="002F357E"/>
    <w:rsid w:val="003003D6"/>
    <w:rsid w:val="003040EA"/>
    <w:rsid w:val="00312928"/>
    <w:rsid w:val="00322396"/>
    <w:rsid w:val="003345A4"/>
    <w:rsid w:val="00335EAE"/>
    <w:rsid w:val="00357616"/>
    <w:rsid w:val="003610AC"/>
    <w:rsid w:val="0036287B"/>
    <w:rsid w:val="00397051"/>
    <w:rsid w:val="003B076D"/>
    <w:rsid w:val="003C1FC5"/>
    <w:rsid w:val="003C36A6"/>
    <w:rsid w:val="003E3007"/>
    <w:rsid w:val="00415853"/>
    <w:rsid w:val="00435D31"/>
    <w:rsid w:val="0045478D"/>
    <w:rsid w:val="004609EC"/>
    <w:rsid w:val="00491BD9"/>
    <w:rsid w:val="004A3B05"/>
    <w:rsid w:val="004B0A76"/>
    <w:rsid w:val="004E03A2"/>
    <w:rsid w:val="004E3A52"/>
    <w:rsid w:val="005658F1"/>
    <w:rsid w:val="005815E4"/>
    <w:rsid w:val="005B26B1"/>
    <w:rsid w:val="005B7295"/>
    <w:rsid w:val="005C5BB9"/>
    <w:rsid w:val="005D1E40"/>
    <w:rsid w:val="00610417"/>
    <w:rsid w:val="006270BF"/>
    <w:rsid w:val="00641DE8"/>
    <w:rsid w:val="00676C3A"/>
    <w:rsid w:val="00676DDB"/>
    <w:rsid w:val="0068737B"/>
    <w:rsid w:val="006A72FA"/>
    <w:rsid w:val="006C4CAD"/>
    <w:rsid w:val="006F6AA2"/>
    <w:rsid w:val="0071061A"/>
    <w:rsid w:val="0071273E"/>
    <w:rsid w:val="00743E53"/>
    <w:rsid w:val="007568F6"/>
    <w:rsid w:val="0076497E"/>
    <w:rsid w:val="007662F8"/>
    <w:rsid w:val="0079288B"/>
    <w:rsid w:val="007A0C25"/>
    <w:rsid w:val="007A7FA1"/>
    <w:rsid w:val="00805D03"/>
    <w:rsid w:val="008104A0"/>
    <w:rsid w:val="008205E3"/>
    <w:rsid w:val="00835130"/>
    <w:rsid w:val="00836517"/>
    <w:rsid w:val="008535FF"/>
    <w:rsid w:val="0087278E"/>
    <w:rsid w:val="00887EE5"/>
    <w:rsid w:val="008D44E7"/>
    <w:rsid w:val="00921B8E"/>
    <w:rsid w:val="00936EC4"/>
    <w:rsid w:val="009626C7"/>
    <w:rsid w:val="00994407"/>
    <w:rsid w:val="009B0CCC"/>
    <w:rsid w:val="00A22B83"/>
    <w:rsid w:val="00A360D4"/>
    <w:rsid w:val="00A54D2A"/>
    <w:rsid w:val="00A77077"/>
    <w:rsid w:val="00AE446B"/>
    <w:rsid w:val="00B23D10"/>
    <w:rsid w:val="00B3216D"/>
    <w:rsid w:val="00B527A4"/>
    <w:rsid w:val="00BD75FE"/>
    <w:rsid w:val="00BF0905"/>
    <w:rsid w:val="00BF6414"/>
    <w:rsid w:val="00C100ED"/>
    <w:rsid w:val="00C134B3"/>
    <w:rsid w:val="00C33758"/>
    <w:rsid w:val="00C52351"/>
    <w:rsid w:val="00C5452A"/>
    <w:rsid w:val="00C7287F"/>
    <w:rsid w:val="00C74F68"/>
    <w:rsid w:val="00CB2571"/>
    <w:rsid w:val="00CB3A7E"/>
    <w:rsid w:val="00CC37AE"/>
    <w:rsid w:val="00CC3C95"/>
    <w:rsid w:val="00CD1F02"/>
    <w:rsid w:val="00CE4FB5"/>
    <w:rsid w:val="00CE5739"/>
    <w:rsid w:val="00D04FAA"/>
    <w:rsid w:val="00D249FA"/>
    <w:rsid w:val="00D2763D"/>
    <w:rsid w:val="00D43387"/>
    <w:rsid w:val="00D6198A"/>
    <w:rsid w:val="00D63B38"/>
    <w:rsid w:val="00D977AF"/>
    <w:rsid w:val="00DC5526"/>
    <w:rsid w:val="00E02ED9"/>
    <w:rsid w:val="00E072C2"/>
    <w:rsid w:val="00E36567"/>
    <w:rsid w:val="00E510BE"/>
    <w:rsid w:val="00E62E6F"/>
    <w:rsid w:val="00E8774A"/>
    <w:rsid w:val="00EB43E2"/>
    <w:rsid w:val="00ED7B60"/>
    <w:rsid w:val="00EE3DB1"/>
    <w:rsid w:val="00F03B01"/>
    <w:rsid w:val="00F224D2"/>
    <w:rsid w:val="00F47498"/>
    <w:rsid w:val="00F62BCB"/>
    <w:rsid w:val="00F93793"/>
    <w:rsid w:val="00FA52E3"/>
    <w:rsid w:val="00FB4431"/>
    <w:rsid w:val="00FD053E"/>
    <w:rsid w:val="00FD2088"/>
    <w:rsid w:val="00FE2FDB"/>
    <w:rsid w:val="00FF0A8E"/>
    <w:rsid w:val="00FF1F00"/>
    <w:rsid w:val="00FF7E26"/>
    <w:rsid w:val="1D9DE9B6"/>
    <w:rsid w:val="342F6983"/>
    <w:rsid w:val="54108955"/>
    <w:rsid w:val="6091C596"/>
    <w:rsid w:val="662D02CE"/>
    <w:rsid w:val="6D24B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3525"/>
  <w15:chartTrackingRefBased/>
  <w15:docId w15:val="{33470399-F613-4051-9014-D23ECAA4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05"/>
    <w:pPr>
      <w:spacing w:after="200" w:line="276" w:lineRule="auto"/>
    </w:pPr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3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3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3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3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3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3B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3B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3B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3B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3B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3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3B0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A3B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3B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3B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3B05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uiPriority w:val="99"/>
    <w:semiHidden/>
    <w:unhideWhenUsed/>
    <w:rsid w:val="004A3B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3B05"/>
  </w:style>
  <w:style w:type="character" w:customStyle="1" w:styleId="CommentaireCar">
    <w:name w:val="Commentaire Car"/>
    <w:basedOn w:val="Policepardfaut"/>
    <w:link w:val="Commentaire"/>
    <w:uiPriority w:val="99"/>
    <w:rsid w:val="004A3B05"/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character" w:customStyle="1" w:styleId="normaltextrun">
    <w:name w:val="normaltextrun"/>
    <w:basedOn w:val="Policepardfaut"/>
    <w:rsid w:val="004A3B05"/>
  </w:style>
  <w:style w:type="character" w:customStyle="1" w:styleId="ParagraphedelisteCar">
    <w:name w:val="Paragraphe de liste Car"/>
    <w:link w:val="Paragraphedeliste"/>
    <w:uiPriority w:val="34"/>
    <w:locked/>
    <w:rsid w:val="004A3B05"/>
  </w:style>
  <w:style w:type="character" w:styleId="Mention">
    <w:name w:val="Mention"/>
    <w:basedOn w:val="Policepardfaut"/>
    <w:uiPriority w:val="99"/>
    <w:unhideWhenUsed/>
    <w:rsid w:val="004A3B05"/>
    <w:rPr>
      <w:color w:val="2B579A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A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AA2"/>
    <w:rPr>
      <w:rFonts w:ascii="Century Gothic" w:eastAsia="Calibri" w:hAnsi="Century Gothic" w:cs="Times New Roman"/>
      <w:b/>
      <w:bCs/>
      <w:kern w:val="0"/>
      <w:sz w:val="20"/>
      <w:szCs w:val="20"/>
      <w:lang w:val="fr-BE"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0E73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73E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7498"/>
    <w:rPr>
      <w:color w:val="96607D" w:themeColor="followedHyperlink"/>
      <w:u w:val="single"/>
    </w:rPr>
  </w:style>
  <w:style w:type="paragraph" w:customStyle="1" w:styleId="a">
    <w:uiPriority w:val="99"/>
    <w:unhideWhenUsed/>
    <w:rsid w:val="00641DE8"/>
    <w:rPr>
      <w:lang w:val="nl-BE"/>
    </w:rPr>
  </w:style>
  <w:style w:type="paragraph" w:styleId="En-tte">
    <w:name w:val="header"/>
    <w:basedOn w:val="Normal"/>
    <w:link w:val="En-tteCar"/>
    <w:uiPriority w:val="99"/>
    <w:unhideWhenUsed/>
    <w:rsid w:val="001A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6C2"/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A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6C2"/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rb-bghm.brussels/fr/documents-techniques/phase-iii-elaboration-du-projet-et-du-dossier-base-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lrbghm.sharepoint.com/sites/RenoSiteOcc/SitePages/L'INVENTAIRE-LOGEMENT-bi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lrbghm.sharepoint.com/sites/RenoSiteOcc/SitePages/LES-ETAPES-DU-PROJET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lrbghm.sharepoint.com/sites/RenoSiteOcc/SitePages/LES-ETAPES-DU-PROJET.asp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rb-bghm.brussels/fr/documents-techniques/phase-iii-elaboration-du-projet-et-du-dossier-base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196A7B4B4F94CBE7D5B1DC5C77DC9" ma:contentTypeVersion="32" ma:contentTypeDescription="Crée un document." ma:contentTypeScope="" ma:versionID="2fcaabb5ed36d3ca7216e622bd58e6d7">
  <xsd:schema xmlns:xsd="http://www.w3.org/2001/XMLSchema" xmlns:xs="http://www.w3.org/2001/XMLSchema" xmlns:p="http://schemas.microsoft.com/office/2006/metadata/properties" xmlns:ns2="d0b8634f-b5f5-45bc-be9e-2deb37dff07e" xmlns:ns3="c96ddbc0-566f-4a40-80b9-1aaf419d204b" targetNamespace="http://schemas.microsoft.com/office/2006/metadata/properties" ma:root="true" ma:fieldsID="93a4221456efce9162b329cfe308a00d" ns2:_="" ns3:_="">
    <xsd:import namespace="d0b8634f-b5f5-45bc-be9e-2deb37dff07e"/>
    <xsd:import namespace="c96ddbc0-566f-4a40-80b9-1aaf419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ypedoc" minOccurs="0"/>
                <xsd:element ref="ns2:Phase" minOccurs="0"/>
                <xsd:element ref="ns2:DateIN" minOccurs="0"/>
                <xsd:element ref="ns2:TUTELLE" minOccurs="0"/>
                <xsd:element ref="ns2:Remarque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ypetravaux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DECHANTIER" minOccurs="0"/>
                <xsd:element ref="ns2:SISP" minOccurs="0"/>
                <xsd:element ref="ns2:SLRBPHOTOS" minOccurs="0"/>
                <xsd:element ref="ns2:BATIMENT" minOccurs="0"/>
                <xsd:element ref="ns2:CodeQuartier" minOccurs="0"/>
                <xsd:element ref="ns2:CP" minOccurs="0"/>
                <xsd:element ref="ns2:GroupeSISP" minOccurs="0"/>
                <xsd:element ref="ns2:COMITES" minOccurs="0"/>
                <xsd:element ref="ns2:COMITESetP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8634f-b5f5-45bc-be9e-2deb37df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doc" ma:index="11" nillable="true" ma:displayName="Type doc" ma:format="Dropdown" ma:internalName="Typedo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usé réception"/>
                    <xsd:enumeration value="NRT"/>
                    <xsd:enumeration value="Approbation"/>
                    <xsd:enumeration value="Rapport CA"/>
                    <xsd:enumeration value="Rapport CD"/>
                    <xsd:enumeration value="Outil"/>
                    <xsd:enumeration value="Procedures"/>
                    <xsd:enumeration value="Processus"/>
                    <xsd:enumeration value="Check-List"/>
                    <xsd:enumeration value="Formation"/>
                    <xsd:enumeration value="Vade-mecum"/>
                    <xsd:enumeration value="Exemple CSC"/>
                    <xsd:enumeration value="Aide-mémoire"/>
                  </xsd:restriction>
                </xsd:simpleType>
              </xsd:element>
            </xsd:sequence>
          </xsd:extension>
        </xsd:complexContent>
      </xsd:complexType>
    </xsd:element>
    <xsd:element name="Phase" ma:index="12" nillable="true" ma:displayName="Phase" ma:format="Dropdown" ma:internalName="Ph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S"/>
                    <xsd:enumeration value="AP"/>
                    <xsd:enumeration value="BA"/>
                    <xsd:enumeration value="PU"/>
                    <xsd:enumeration value="Autres"/>
                    <xsd:enumeration value="CH"/>
                    <xsd:enumeration value="Kick-off"/>
                    <xsd:enumeration value="DMS"/>
                    <xsd:enumeration value="DMT"/>
                    <xsd:enumeration value="PSRD"/>
                  </xsd:restriction>
                </xsd:simpleType>
              </xsd:element>
            </xsd:sequence>
          </xsd:extension>
        </xsd:complexContent>
      </xsd:complexType>
    </xsd:element>
    <xsd:element name="DateIN" ma:index="13" nillable="true" ma:displayName="Date IN" ma:format="DateTime" ma:internalName="DateIN">
      <xsd:simpleType>
        <xsd:restriction base="dms:DateTime"/>
      </xsd:simpleType>
    </xsd:element>
    <xsd:element name="TUTELLE" ma:index="14" nillable="true" ma:displayName="TUTELLE" ma:format="Dropdown" ma:internalName="TUTEL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L"/>
                    <xsd:enumeration value="TA"/>
                    <xsd:enumeration value="TP"/>
                  </xsd:restriction>
                </xsd:simpleType>
              </xsd:element>
            </xsd:sequence>
          </xsd:extension>
        </xsd:complexContent>
      </xsd:complexType>
    </xsd:element>
    <xsd:element name="Remarques" ma:index="15" nillable="true" ma:displayName="Remarques" ma:format="Dropdown" ma:internalName="Remarques">
      <xsd:simpleType>
        <xsd:restriction base="dms:Text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travaux" ma:index="19" nillable="true" ma:displayName="Type travaux" ma:format="Dropdown" ma:internalName="Typetravaux">
      <xsd:simpleType>
        <xsd:restriction base="dms:Choice">
          <xsd:enumeration value="Ren lourde"/>
          <xsd:enumeration value="Enveloppe complète"/>
          <xsd:enumeration value="Composants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CODECHANTIER" ma:index="28" nillable="true" ma:displayName="CODE CHANTIER" ma:format="Dropdown" ma:internalName="CODECHANTIER">
      <xsd:simpleType>
        <xsd:restriction base="dms:Text">
          <xsd:maxLength value="255"/>
        </xsd:restriction>
      </xsd:simpleType>
    </xsd:element>
    <xsd:element name="SISP" ma:index="29" nillable="true" ma:displayName="SISP" ma:format="Dropdown" ma:internalName="SISP">
      <xsd:simpleType>
        <xsd:restriction base="dms:Choice">
          <xsd:enumeration value="2020"/>
          <xsd:enumeration value="2040"/>
          <xsd:enumeration value="2070"/>
          <xsd:enumeration value="2140"/>
          <xsd:enumeration value="2160"/>
          <xsd:enumeration value="2170"/>
          <xsd:enumeration value="2270"/>
          <xsd:enumeration value="2400"/>
          <xsd:enumeration value="2410"/>
          <xsd:enumeration value="2500"/>
          <xsd:enumeration value="2560"/>
          <xsd:enumeration value="2570"/>
          <xsd:enumeration value="2580"/>
          <xsd:enumeration value="2700"/>
          <xsd:enumeration value="2800"/>
          <xsd:enumeration value="2810"/>
          <xsd:enumeration value="AUTRES"/>
        </xsd:restriction>
      </xsd:simpleType>
    </xsd:element>
    <xsd:element name="SLRBPHOTOS" ma:index="30" nillable="true" ma:displayName="SLRB PHOTOS" ma:default="1" ma:format="Dropdown" ma:internalName="SLRBPHOTOS">
      <xsd:simpleType>
        <xsd:restriction base="dms:Boolean"/>
      </xsd:simpleType>
    </xsd:element>
    <xsd:element name="BATIMENT" ma:index="31" nillable="true" ma:displayName="BATIMENT" ma:format="Dropdown" ma:internalName="BATI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MET 321"/>
                    <xsd:enumeration value="HELMET 323"/>
                    <xsd:enumeration value="SÉVERIN 55"/>
                    <xsd:enumeration value="SÉVERIN 57"/>
                    <xsd:enumeration value="VAN DROOGENBROECK 53"/>
                    <xsd:enumeration value="VAN DROOGENBROECK 55"/>
                    <xsd:enumeration value="VAN DROOGENBROECK 57"/>
                    <xsd:enumeration value="VAN DROOGENBROECK 59"/>
                    <xsd:enumeration value="VAN DROOGENBROECK 61"/>
                  </xsd:restriction>
                </xsd:simpleType>
              </xsd:element>
            </xsd:sequence>
          </xsd:extension>
        </xsd:complexContent>
      </xsd:complexType>
    </xsd:element>
    <xsd:element name="CodeQuartier" ma:index="32" nillable="true" ma:displayName="Code Quartier" ma:format="Dropdown" ma:internalName="CodeQuartier">
      <xsd:simpleType>
        <xsd:restriction base="dms:Choice">
          <xsd:enumeration value="21"/>
          <xsd:enumeration value="22"/>
          <xsd:enumeration value="23"/>
          <xsd:enumeration value="24"/>
          <xsd:enumeration value="26"/>
          <xsd:enumeration value="27"/>
          <xsd:enumeration value="28"/>
          <xsd:enumeration value="30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</xsd:restriction>
      </xsd:simpleType>
    </xsd:element>
    <xsd:element name="CP" ma:index="33" nillable="true" ma:displayName="CP" ma:format="Dropdown" ma:internalName="CP">
      <xsd:simpleType>
        <xsd:restriction base="dms:Choice">
          <xsd:enumeration value="1000"/>
          <xsd:enumeration value="1020"/>
          <xsd:enumeration value="1030"/>
          <xsd:enumeration value="1040"/>
          <xsd:enumeration value="1050"/>
          <xsd:enumeration value="1060"/>
          <xsd:enumeration value="1070"/>
          <xsd:enumeration value="1120"/>
          <xsd:enumeration value="1130"/>
          <xsd:enumeration value="1140"/>
          <xsd:enumeration value="1150"/>
          <xsd:enumeration value="1160"/>
          <xsd:enumeration value="1170"/>
          <xsd:enumeration value="1180"/>
          <xsd:enumeration value="1200"/>
          <xsd:enumeration value="1210"/>
        </xsd:restriction>
      </xsd:simpleType>
    </xsd:element>
    <xsd:element name="GroupeSISP" ma:index="34" nillable="true" ma:displayName="Groupe SISP" ma:description="72 maisons" ma:format="Dropdown" ma:internalName="GroupeSISP">
      <xsd:simpleType>
        <xsd:restriction base="dms:Text">
          <xsd:maxLength value="255"/>
        </xsd:restriction>
      </xsd:simpleType>
    </xsd:element>
    <xsd:element name="COMITES" ma:index="35" nillable="true" ma:displayName="COMITES" ma:format="Dropdown" ma:internalName="COMITES">
      <xsd:simpleType>
        <xsd:restriction base="dms:Choice">
          <xsd:enumeration value="CRC TECHNIQUE"/>
          <xsd:enumeration value="CADASTRE"/>
          <xsd:enumeration value="AMIANTE"/>
          <xsd:enumeration value="CIRCULARITE"/>
          <xsd:enumeration value="GIPRAC"/>
        </xsd:restriction>
      </xsd:simpleType>
    </xsd:element>
    <xsd:element name="COMITESetPOP" ma:index="36" nillable="true" ma:displayName="COMITES et POP" ma:format="Dropdown" ma:internalName="COMITESetPOP">
      <xsd:simpleType>
        <xsd:restriction base="dms:Choice">
          <xsd:enumeration value="ATLAS"/>
          <xsd:enumeration value="GIPRAC"/>
          <xsd:enumeration value="AMIANTE"/>
          <xsd:enumeration value="CRC TECH"/>
          <xsd:enumeration value="CADAST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ddbc0-566f-4a40-80b9-1aaf419d2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ded52a-5638-4e5c-af2c-7ba4d415010a}" ma:internalName="TaxCatchAll" ma:showField="CatchAllData" ma:web="c96ddbc0-566f-4a40-80b9-1aaf419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b8634f-b5f5-45bc-be9e-2deb37dff07e">
      <Terms xmlns="http://schemas.microsoft.com/office/infopath/2007/PartnerControls"/>
    </lcf76f155ced4ddcb4097134ff3c332f>
    <TaxCatchAll xmlns="c96ddbc0-566f-4a40-80b9-1aaf419d204b" xsi:nil="true"/>
    <Typedoc xmlns="d0b8634f-b5f5-45bc-be9e-2deb37dff07e" xsi:nil="true"/>
    <CP xmlns="d0b8634f-b5f5-45bc-be9e-2deb37dff07e" xsi:nil="true"/>
    <CODECHANTIER xmlns="d0b8634f-b5f5-45bc-be9e-2deb37dff07e" xsi:nil="true"/>
    <Remarques xmlns="d0b8634f-b5f5-45bc-be9e-2deb37dff07e" xsi:nil="true"/>
    <Phase xmlns="d0b8634f-b5f5-45bc-be9e-2deb37dff07e" xsi:nil="true"/>
    <DateIN xmlns="d0b8634f-b5f5-45bc-be9e-2deb37dff07e" xsi:nil="true"/>
    <SLRBPHOTOS xmlns="d0b8634f-b5f5-45bc-be9e-2deb37dff07e">true</SLRBPHOTOS>
    <COMITES xmlns="d0b8634f-b5f5-45bc-be9e-2deb37dff07e" xsi:nil="true"/>
    <Typetravaux xmlns="d0b8634f-b5f5-45bc-be9e-2deb37dff07e" xsi:nil="true"/>
    <GroupeSISP xmlns="d0b8634f-b5f5-45bc-be9e-2deb37dff07e" xsi:nil="true"/>
    <TUTELLE xmlns="d0b8634f-b5f5-45bc-be9e-2deb37dff07e" xsi:nil="true"/>
    <CodeQuartier xmlns="d0b8634f-b5f5-45bc-be9e-2deb37dff07e" xsi:nil="true"/>
    <COMITESetPOP xmlns="d0b8634f-b5f5-45bc-be9e-2deb37dff07e" xsi:nil="true"/>
    <SISP xmlns="d0b8634f-b5f5-45bc-be9e-2deb37dff07e" xsi:nil="true"/>
    <BATIMENT xmlns="d0b8634f-b5f5-45bc-be9e-2deb37dff07e" xsi:nil="true"/>
  </documentManagement>
</p:properties>
</file>

<file path=customXml/itemProps1.xml><?xml version="1.0" encoding="utf-8"?>
<ds:datastoreItem xmlns:ds="http://schemas.openxmlformats.org/officeDocument/2006/customXml" ds:itemID="{4F47BE14-C6C1-4882-8331-6CF2E56A5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5A0FC-F51B-4406-8791-F6BC0177E51B}"/>
</file>

<file path=customXml/itemProps3.xml><?xml version="1.0" encoding="utf-8"?>
<ds:datastoreItem xmlns:ds="http://schemas.openxmlformats.org/officeDocument/2006/customXml" ds:itemID="{09279FFE-2400-4554-94B8-5E66C529A3AC}">
  <ds:schemaRefs>
    <ds:schemaRef ds:uri="http://schemas.microsoft.com/office/2006/metadata/properties"/>
    <ds:schemaRef ds:uri="http://schemas.microsoft.com/office/infopath/2007/PartnerControls"/>
    <ds:schemaRef ds:uri="c7e117b2-efe3-4b9a-b280-472805a36568"/>
    <ds:schemaRef ds:uri="d80ecef4-82c1-4ca5-be87-e14b65f18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Links>
    <vt:vector size="24" baseType="variant">
      <vt:variant>
        <vt:i4>7340145</vt:i4>
      </vt:variant>
      <vt:variant>
        <vt:i4>6</vt:i4>
      </vt:variant>
      <vt:variant>
        <vt:i4>0</vt:i4>
      </vt:variant>
      <vt:variant>
        <vt:i4>5</vt:i4>
      </vt:variant>
      <vt:variant>
        <vt:lpwstr>https://slrb-bghm.brussels/fr/documents-techniques/phase-iii-elaboration-du-projet-et-du-dossier-base-0</vt:lpwstr>
      </vt:variant>
      <vt:variant>
        <vt:lpwstr/>
      </vt:variant>
      <vt:variant>
        <vt:i4>7340145</vt:i4>
      </vt:variant>
      <vt:variant>
        <vt:i4>3</vt:i4>
      </vt:variant>
      <vt:variant>
        <vt:i4>0</vt:i4>
      </vt:variant>
      <vt:variant>
        <vt:i4>5</vt:i4>
      </vt:variant>
      <vt:variant>
        <vt:lpwstr>https://slrb-bghm.brussels/fr/documents-techniques/phase-iii-elaboration-du-projet-et-du-dossier-base-0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https://slrbghm.sharepoint.com/sites/RenoSiteOcc/SitePages/L'INVENTAIRE-LOGEMENT-bis.aspx</vt:lpwstr>
      </vt:variant>
      <vt:variant>
        <vt:lpwstr/>
      </vt:variant>
      <vt:variant>
        <vt:i4>5832726</vt:i4>
      </vt:variant>
      <vt:variant>
        <vt:i4>0</vt:i4>
      </vt:variant>
      <vt:variant>
        <vt:i4>0</vt:i4>
      </vt:variant>
      <vt:variant>
        <vt:i4>5</vt:i4>
      </vt:variant>
      <vt:variant>
        <vt:lpwstr>https://slrbghm.sharepoint.com/sites/RenoSiteOcc/SitePages/LES-ETAPES-DU-PROJET.aspx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COTRINA ARAUJO</dc:creator>
  <cp:keywords/>
  <dc:description/>
  <cp:lastModifiedBy>Xavier LEROY</cp:lastModifiedBy>
  <cp:revision>2</cp:revision>
  <cp:lastPrinted>2024-06-18T19:07:00Z</cp:lastPrinted>
  <dcterms:created xsi:type="dcterms:W3CDTF">2026-06-25T07:15:00Z</dcterms:created>
  <dcterms:modified xsi:type="dcterms:W3CDTF">2026-06-25T07:15:00Z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0x0101000FE196A7B4B4F94CBE7D5B1DC5C77DC9</vt:lpwstr>
  </property>
  <property fmtid="{D5CDD505-2E9C-101B-9397-08002B2CF9AE}" pid="3" name="MediaServiceImageTags">
    <vt:lpwstr/>
  </property>
</Properties>
</file>