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7D7C2" w14:textId="77777777" w:rsidR="00B747ED" w:rsidRPr="002F4E9A" w:rsidRDefault="00374E72" w:rsidP="00B747ED">
      <w:pPr>
        <w:pStyle w:val="Titre5"/>
        <w:rPr>
          <w:color w:val="00A4B7" w:themeColor="accent1"/>
        </w:rPr>
      </w:pPr>
      <w:r>
        <w:rPr>
          <w:color w:val="00A4B7" w:themeColor="accent1"/>
        </w:rPr>
        <w:t>KENNISGEVING VAN GUNNING VAN DE OPDRACHT - INSCHRIJVER VAN WIE DE OFFERTE ONREGELMATIG IS</w:t>
      </w:r>
    </w:p>
    <w:p w14:paraId="355D0BAA" w14:textId="77777777" w:rsidR="00B747ED" w:rsidRPr="00B747ED" w:rsidRDefault="00B747ED" w:rsidP="00B747ED"/>
    <w:p w14:paraId="4D9538AC" w14:textId="77777777" w:rsidR="00B747ED" w:rsidRDefault="00B747ED" w:rsidP="00B747ED">
      <w:pPr>
        <w:jc w:val="right"/>
        <w:rPr>
          <w:rFonts w:ascii="Century Gothic" w:hAnsi="Century Gothic"/>
        </w:rPr>
      </w:pPr>
    </w:p>
    <w:p w14:paraId="70ABF5FF" w14:textId="77777777" w:rsidR="00B747ED" w:rsidRPr="00B63D15" w:rsidRDefault="00B747ED" w:rsidP="00B747ED">
      <w:pPr>
        <w:jc w:val="right"/>
        <w:rPr>
          <w:rFonts w:ascii="Century Gothic" w:hAnsi="Century Gothic"/>
          <w:color w:val="00A4B7" w:themeColor="accent1"/>
        </w:rPr>
      </w:pPr>
      <w:r>
        <w:rPr>
          <w:rFonts w:ascii="Century Gothic" w:hAnsi="Century Gothic"/>
        </w:rPr>
        <w:t xml:space="preserve">Brussel, </w:t>
      </w:r>
      <w:r>
        <w:rPr>
          <w:rFonts w:ascii="Century Gothic" w:hAnsi="Century Gothic"/>
          <w:i/>
          <w:color w:val="00A4B7" w:themeColor="accent1"/>
        </w:rPr>
        <w:t>(dag, maand, jaar)</w:t>
      </w:r>
    </w:p>
    <w:p w14:paraId="10093DD6" w14:textId="77777777" w:rsidR="00B747ED" w:rsidRPr="00490A58" w:rsidRDefault="00B747ED" w:rsidP="00B747ED">
      <w:pPr>
        <w:jc w:val="both"/>
        <w:rPr>
          <w:rFonts w:ascii="Century Gothic" w:hAnsi="Century Gothic"/>
        </w:rPr>
      </w:pPr>
      <w:r>
        <w:rPr>
          <w:rFonts w:ascii="Century Gothic" w:hAnsi="Century Gothic"/>
        </w:rPr>
        <w:t>PER FAX OF MAIL</w:t>
      </w:r>
    </w:p>
    <w:p w14:paraId="4D95FA81" w14:textId="77777777" w:rsidR="00B747ED" w:rsidRPr="00490A58" w:rsidRDefault="00B747ED" w:rsidP="00B747ED">
      <w:pPr>
        <w:jc w:val="both"/>
        <w:rPr>
          <w:rFonts w:ascii="Century Gothic" w:hAnsi="Century Gothic"/>
        </w:rPr>
      </w:pPr>
      <w:r>
        <w:rPr>
          <w:rFonts w:ascii="Century Gothic" w:hAnsi="Century Gothic"/>
        </w:rPr>
        <w:t>EN PER AANGETEKEND SCHRIJVEN</w:t>
      </w:r>
    </w:p>
    <w:p w14:paraId="0DB816CF" w14:textId="77777777" w:rsidR="00B747ED" w:rsidRPr="00490A58" w:rsidRDefault="00B747ED" w:rsidP="00B747ED">
      <w:pPr>
        <w:jc w:val="both"/>
        <w:rPr>
          <w:rFonts w:ascii="Century Gothic" w:hAnsi="Century Gothic"/>
        </w:rPr>
      </w:pPr>
    </w:p>
    <w:p w14:paraId="6A4FC4E9" w14:textId="77777777" w:rsidR="00B747ED" w:rsidRPr="00490A58" w:rsidRDefault="00B747ED" w:rsidP="00B747ED">
      <w:pPr>
        <w:jc w:val="both"/>
        <w:rPr>
          <w:rFonts w:ascii="Century Gothic" w:hAnsi="Century Gothic"/>
        </w:rPr>
      </w:pPr>
    </w:p>
    <w:p w14:paraId="114203F3" w14:textId="77777777" w:rsidR="00B747ED" w:rsidRPr="00490A58" w:rsidRDefault="00B747ED" w:rsidP="00B747ED">
      <w:pPr>
        <w:jc w:val="both"/>
        <w:rPr>
          <w:rFonts w:ascii="Century Gothic" w:hAnsi="Century Gothic"/>
        </w:rPr>
      </w:pPr>
      <w:r>
        <w:rPr>
          <w:rFonts w:ascii="Century Gothic" w:hAnsi="Century Gothic"/>
        </w:rPr>
        <w:t>Geachte mevrouw, geachte heer,</w:t>
      </w:r>
    </w:p>
    <w:p w14:paraId="2C9E4AEF" w14:textId="77777777" w:rsidR="00B747ED" w:rsidRPr="00490A58" w:rsidRDefault="00B747ED" w:rsidP="00B747ED">
      <w:pPr>
        <w:jc w:val="both"/>
        <w:rPr>
          <w:rFonts w:ascii="Century Gothic" w:hAnsi="Century Gothic"/>
        </w:rPr>
      </w:pPr>
    </w:p>
    <w:p w14:paraId="4FAD7B81" w14:textId="77777777" w:rsidR="00B747ED" w:rsidRPr="002D0138" w:rsidRDefault="00B747ED" w:rsidP="00B747ED">
      <w:pPr>
        <w:jc w:val="both"/>
        <w:rPr>
          <w:rFonts w:ascii="Century Gothic" w:hAnsi="Century Gothic"/>
        </w:rPr>
      </w:pPr>
    </w:p>
    <w:p w14:paraId="4D67E50B" w14:textId="77777777" w:rsidR="00B747ED" w:rsidRPr="00B63D15" w:rsidRDefault="00B747ED" w:rsidP="00B747ED">
      <w:pPr>
        <w:ind w:left="851" w:hanging="851"/>
        <w:rPr>
          <w:color w:val="00A4B7" w:themeColor="accent1"/>
        </w:rPr>
      </w:pPr>
      <w:proofErr w:type="gramStart"/>
      <w:r>
        <w:rPr>
          <w:rFonts w:ascii="Century Gothic" w:hAnsi="Century Gothic"/>
          <w:b/>
        </w:rPr>
        <w:t>Betreft</w:t>
      </w:r>
      <w:r>
        <w:t> :</w:t>
      </w:r>
      <w:proofErr w:type="gramEnd"/>
      <w:r>
        <w:t xml:space="preserve"> </w:t>
      </w:r>
      <w:r>
        <w:tab/>
      </w:r>
      <w:r>
        <w:rPr>
          <w:rFonts w:ascii="Century Gothic" w:hAnsi="Century Gothic"/>
        </w:rPr>
        <w:t>Openbare procedure van</w:t>
      </w:r>
      <w:r>
        <w:rPr>
          <w:rFonts w:ascii="Century Gothic" w:hAnsi="Century Gothic"/>
          <w:color w:val="00A4B7" w:themeColor="accent1"/>
        </w:rPr>
        <w:t xml:space="preserve"> </w:t>
      </w:r>
      <w:r>
        <w:rPr>
          <w:rFonts w:ascii="Century Gothic" w:hAnsi="Century Gothic"/>
          <w:i/>
          <w:color w:val="00A4B7" w:themeColor="accent1"/>
        </w:rPr>
        <w:t>(uiterste datum van indiening van de offertes)</w:t>
      </w:r>
    </w:p>
    <w:p w14:paraId="25CAC764" w14:textId="77777777" w:rsidR="00B747ED" w:rsidRDefault="00B747ED" w:rsidP="00B747ED">
      <w:pPr>
        <w:ind w:left="851"/>
      </w:pPr>
      <w:r>
        <w:rPr>
          <w:rFonts w:ascii="Century Gothic" w:hAnsi="Century Gothic"/>
        </w:rPr>
        <w:t xml:space="preserve">Werken betreffende </w:t>
      </w:r>
      <w:r>
        <w:rPr>
          <w:rFonts w:ascii="Century Gothic" w:hAnsi="Century Gothic"/>
          <w:i/>
          <w:color w:val="00A4B7" w:themeColor="accent1"/>
        </w:rPr>
        <w:t>(aard van de werken en adres)</w:t>
      </w:r>
    </w:p>
    <w:p w14:paraId="6F500C7C" w14:textId="77777777" w:rsidR="00B747ED" w:rsidRPr="00490A58" w:rsidRDefault="00B747ED" w:rsidP="00B747ED">
      <w:pPr>
        <w:ind w:left="851"/>
        <w:jc w:val="both"/>
        <w:rPr>
          <w:rFonts w:ascii="Century Gothic" w:hAnsi="Century Gothic"/>
        </w:rPr>
      </w:pPr>
      <w:r>
        <w:rPr>
          <w:rFonts w:ascii="Century Gothic" w:hAnsi="Century Gothic"/>
        </w:rPr>
        <w:t xml:space="preserve">Bouwwerknr. </w:t>
      </w:r>
      <w:r>
        <w:rPr>
          <w:rFonts w:ascii="Century Gothic" w:hAnsi="Century Gothic"/>
          <w:i/>
          <w:color w:val="00A4B7" w:themeColor="accent1"/>
        </w:rPr>
        <w:t>(</w:t>
      </w:r>
      <w:proofErr w:type="gramStart"/>
      <w:r>
        <w:rPr>
          <w:rFonts w:ascii="Century Gothic" w:hAnsi="Century Gothic"/>
          <w:i/>
          <w:color w:val="00A4B7" w:themeColor="accent1"/>
        </w:rPr>
        <w:t>bouwwerknummer</w:t>
      </w:r>
      <w:proofErr w:type="gramEnd"/>
      <w:r>
        <w:rPr>
          <w:rFonts w:ascii="Century Gothic" w:hAnsi="Century Gothic"/>
          <w:i/>
          <w:color w:val="00A4B7" w:themeColor="accent1"/>
        </w:rPr>
        <w:t>)</w:t>
      </w:r>
    </w:p>
    <w:p w14:paraId="6CFBE3FC" w14:textId="77777777" w:rsidR="00B747ED" w:rsidRPr="00490A58" w:rsidRDefault="00B747ED" w:rsidP="00B747ED">
      <w:pPr>
        <w:jc w:val="both"/>
        <w:rPr>
          <w:rFonts w:ascii="Century Gothic" w:hAnsi="Century Gothic"/>
        </w:rPr>
      </w:pPr>
    </w:p>
    <w:p w14:paraId="16662CF7" w14:textId="77777777" w:rsidR="00B747ED" w:rsidRPr="00490A58" w:rsidRDefault="00B747ED" w:rsidP="00B747ED">
      <w:pPr>
        <w:jc w:val="both"/>
        <w:rPr>
          <w:rFonts w:ascii="Century Gothic" w:hAnsi="Century Gothic"/>
        </w:rPr>
      </w:pPr>
    </w:p>
    <w:p w14:paraId="68D7C14A" w14:textId="77777777" w:rsidR="0020045D" w:rsidRPr="0099601F" w:rsidRDefault="0020045D" w:rsidP="0020045D">
      <w:pPr>
        <w:jc w:val="both"/>
        <w:rPr>
          <w:rFonts w:ascii="Century Gothic" w:hAnsi="Century Gothic"/>
        </w:rPr>
      </w:pPr>
      <w:bookmarkStart w:id="0" w:name="_Toc431307712"/>
      <w:bookmarkStart w:id="1" w:name="_Toc431802663"/>
      <w:bookmarkStart w:id="2" w:name="_Toc431802820"/>
      <w:bookmarkStart w:id="3" w:name="_Toc431811186"/>
      <w:bookmarkStart w:id="4" w:name="_Toc431811808"/>
      <w:bookmarkStart w:id="5" w:name="_Toc431812154"/>
      <w:bookmarkStart w:id="6" w:name="_Toc431812313"/>
      <w:bookmarkStart w:id="7" w:name="_Toc431821417"/>
      <w:bookmarkStart w:id="8" w:name="_Toc431823442"/>
      <w:bookmarkStart w:id="9" w:name="_Toc431895138"/>
      <w:bookmarkStart w:id="10" w:name="_Toc441157250"/>
      <w:bookmarkStart w:id="11" w:name="_Toc441157425"/>
      <w:bookmarkStart w:id="12" w:name="_Toc441157598"/>
      <w:bookmarkStart w:id="13" w:name="_Toc441157802"/>
      <w:bookmarkStart w:id="14" w:name="_Toc441157975"/>
      <w:bookmarkStart w:id="15" w:name="_Toc441158148"/>
      <w:bookmarkStart w:id="16" w:name="_Toc431895139"/>
      <w:bookmarkStart w:id="17" w:name="_Toc441157251"/>
      <w:bookmarkStart w:id="18" w:name="_Toc441157426"/>
      <w:bookmarkStart w:id="19" w:name="_Toc441157599"/>
      <w:bookmarkStart w:id="20" w:name="_Toc441157803"/>
      <w:bookmarkStart w:id="21" w:name="_Toc441157976"/>
      <w:bookmarkStart w:id="22" w:name="_Toc441158149"/>
      <w:bookmarkStart w:id="23" w:name="_Toc431895140"/>
      <w:bookmarkStart w:id="24" w:name="_Toc441157252"/>
      <w:bookmarkStart w:id="25" w:name="_Toc441157427"/>
      <w:bookmarkStart w:id="26" w:name="_Toc441157600"/>
      <w:bookmarkStart w:id="27" w:name="_Toc441157804"/>
      <w:bookmarkStart w:id="28" w:name="_Toc441157977"/>
      <w:bookmarkStart w:id="29" w:name="_Toc441158150"/>
      <w:bookmarkStart w:id="30" w:name="_Toc431895141"/>
      <w:bookmarkStart w:id="31" w:name="_Toc441157253"/>
      <w:bookmarkStart w:id="32" w:name="_Toc441157428"/>
      <w:bookmarkStart w:id="33" w:name="_Toc441157601"/>
      <w:bookmarkStart w:id="34" w:name="_Toc441157805"/>
      <w:bookmarkStart w:id="35" w:name="_Toc441157978"/>
      <w:bookmarkStart w:id="36" w:name="_Toc441158151"/>
      <w:bookmarkStart w:id="37" w:name="_Toc431895142"/>
      <w:bookmarkStart w:id="38" w:name="_Toc441157254"/>
      <w:bookmarkStart w:id="39" w:name="_Toc441157429"/>
      <w:bookmarkStart w:id="40" w:name="_Toc441157602"/>
      <w:bookmarkStart w:id="41" w:name="_Toc441157806"/>
      <w:bookmarkStart w:id="42" w:name="_Toc441157979"/>
      <w:bookmarkStart w:id="43" w:name="_Toc441158152"/>
      <w:bookmarkStart w:id="44" w:name="_Toc431895143"/>
      <w:bookmarkStart w:id="45" w:name="_Toc441157255"/>
      <w:bookmarkStart w:id="46" w:name="_Toc441157430"/>
      <w:bookmarkStart w:id="47" w:name="_Toc441157603"/>
      <w:bookmarkStart w:id="48" w:name="_Toc441157807"/>
      <w:bookmarkStart w:id="49" w:name="_Toc441157980"/>
      <w:bookmarkStart w:id="50" w:name="_Toc441158153"/>
      <w:bookmarkStart w:id="51" w:name="_Toc431895144"/>
      <w:bookmarkStart w:id="52" w:name="_Toc441157256"/>
      <w:bookmarkStart w:id="53" w:name="_Toc441157431"/>
      <w:bookmarkStart w:id="54" w:name="_Toc441157604"/>
      <w:bookmarkStart w:id="55" w:name="_Toc441157808"/>
      <w:bookmarkStart w:id="56" w:name="_Toc441157981"/>
      <w:bookmarkStart w:id="57" w:name="_Toc441158154"/>
      <w:bookmarkStart w:id="58" w:name="_Toc431895145"/>
      <w:bookmarkStart w:id="59" w:name="_Toc441157257"/>
      <w:bookmarkStart w:id="60" w:name="_Toc441157432"/>
      <w:bookmarkStart w:id="61" w:name="_Toc441157605"/>
      <w:bookmarkStart w:id="62" w:name="_Toc441157809"/>
      <w:bookmarkStart w:id="63" w:name="_Toc441157982"/>
      <w:bookmarkStart w:id="64" w:name="_Toc441158155"/>
      <w:bookmarkStart w:id="65" w:name="_Toc43189514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Pr>
          <w:rFonts w:ascii="Century Gothic" w:hAnsi="Century Gothic"/>
        </w:rPr>
        <w:t>Tot onze spijt moeten wij u meedelen dat de BGHM heeft ingestemd met onze beslissing om uw offerte in het kader van bovenvermelde opdracht onregelmatig te verklaren.</w:t>
      </w:r>
    </w:p>
    <w:p w14:paraId="381F319D" w14:textId="77777777" w:rsidR="0020045D" w:rsidRPr="0099601F" w:rsidRDefault="0020045D" w:rsidP="0020045D">
      <w:pPr>
        <w:jc w:val="both"/>
        <w:rPr>
          <w:rFonts w:ascii="Century Gothic" w:hAnsi="Century Gothic"/>
        </w:rPr>
      </w:pPr>
    </w:p>
    <w:p w14:paraId="1FBF25EF" w14:textId="77777777" w:rsidR="0020045D" w:rsidRPr="0099601F" w:rsidRDefault="0020045D" w:rsidP="0020045D">
      <w:pPr>
        <w:jc w:val="both"/>
        <w:rPr>
          <w:rFonts w:ascii="Century Gothic" w:hAnsi="Century Gothic"/>
        </w:rPr>
      </w:pPr>
      <w:r>
        <w:rPr>
          <w:rFonts w:ascii="Century Gothic" w:hAnsi="Century Gothic"/>
        </w:rPr>
        <w:t>Als bijlage vindt u een uittreksel uit de gunningsbeslissing met betrekking tot de redenen voor uw uitsluiting.</w:t>
      </w:r>
    </w:p>
    <w:p w14:paraId="031F09C2" w14:textId="77777777" w:rsidR="0020045D" w:rsidRPr="0099601F" w:rsidRDefault="0020045D" w:rsidP="0020045D">
      <w:pPr>
        <w:jc w:val="both"/>
        <w:rPr>
          <w:rFonts w:ascii="Century Gothic" w:hAnsi="Century Gothic"/>
        </w:rPr>
      </w:pPr>
    </w:p>
    <w:p w14:paraId="42C6EB7C" w14:textId="50BF58B0" w:rsidR="0020045D" w:rsidRDefault="002D1A54" w:rsidP="0020045D">
      <w:pPr>
        <w:pBdr>
          <w:top w:val="single" w:sz="4" w:space="1" w:color="auto"/>
          <w:left w:val="single" w:sz="4" w:space="4" w:color="auto"/>
          <w:bottom w:val="single" w:sz="4" w:space="1" w:color="auto"/>
          <w:right w:val="single" w:sz="4" w:space="4" w:color="auto"/>
        </w:pBdr>
        <w:jc w:val="both"/>
        <w:rPr>
          <w:rFonts w:ascii="Century Gothic" w:hAnsi="Century Gothic"/>
          <w:i/>
          <w:color w:val="00A4B7" w:themeColor="accent1"/>
        </w:rPr>
      </w:pPr>
      <w:r w:rsidRPr="002D1A54">
        <w:rPr>
          <w:rFonts w:ascii="Century Gothic" w:hAnsi="Century Gothic"/>
          <w:i/>
          <w:iCs/>
          <w:color w:val="00A4B7" w:themeColor="accent1"/>
        </w:rPr>
        <w:t xml:space="preserve">Toe te voegen </w:t>
      </w:r>
      <w:proofErr w:type="gramStart"/>
      <w:r w:rsidRPr="002D1A54">
        <w:rPr>
          <w:rFonts w:ascii="Century Gothic" w:hAnsi="Century Gothic"/>
          <w:i/>
          <w:iCs/>
          <w:color w:val="00A4B7" w:themeColor="accent1"/>
        </w:rPr>
        <w:t>indien</w:t>
      </w:r>
      <w:proofErr w:type="gramEnd"/>
      <w:r w:rsidRPr="002D1A54">
        <w:rPr>
          <w:rFonts w:ascii="Century Gothic" w:hAnsi="Century Gothic"/>
          <w:i/>
          <w:iCs/>
          <w:color w:val="00A4B7" w:themeColor="accent1"/>
        </w:rPr>
        <w:t xml:space="preserve"> de «</w:t>
      </w:r>
      <w:r w:rsidRPr="002D1A54">
        <w:rPr>
          <w:rFonts w:ascii="Arial" w:hAnsi="Arial" w:cs="Arial"/>
          <w:i/>
          <w:iCs/>
          <w:color w:val="00A4B7" w:themeColor="accent1"/>
        </w:rPr>
        <w:t> </w:t>
      </w:r>
      <w:proofErr w:type="spellStart"/>
      <w:r w:rsidRPr="002D1A54">
        <w:rPr>
          <w:rFonts w:ascii="Century Gothic" w:hAnsi="Century Gothic"/>
          <w:i/>
          <w:iCs/>
          <w:color w:val="00A4B7" w:themeColor="accent1"/>
        </w:rPr>
        <w:t>standstill</w:t>
      </w:r>
      <w:proofErr w:type="spellEnd"/>
      <w:r w:rsidRPr="002D1A54">
        <w:rPr>
          <w:rFonts w:ascii="Arial" w:hAnsi="Arial" w:cs="Arial"/>
          <w:i/>
          <w:iCs/>
          <w:color w:val="00A4B7" w:themeColor="accent1"/>
        </w:rPr>
        <w:t> </w:t>
      </w:r>
      <w:r w:rsidRPr="002D1A54">
        <w:rPr>
          <w:rFonts w:ascii="Century Gothic" w:hAnsi="Century Gothic" w:cs="Century Gothic"/>
          <w:i/>
          <w:iCs/>
          <w:color w:val="00A4B7" w:themeColor="accent1"/>
        </w:rPr>
        <w:t>»</w:t>
      </w:r>
      <w:r w:rsidRPr="002D1A54">
        <w:rPr>
          <w:rFonts w:ascii="Century Gothic" w:hAnsi="Century Gothic"/>
          <w:i/>
          <w:iCs/>
          <w:color w:val="00A4B7" w:themeColor="accent1"/>
        </w:rPr>
        <w:t xml:space="preserve">-termijn wordt (het bedrag van de respectieve drempelwaarden vindt u in de tabel </w:t>
      </w:r>
      <w:hyperlink r:id="rId11" w:tgtFrame="_blank" w:history="1">
        <w:r w:rsidRPr="002D1A54">
          <w:rPr>
            <w:rStyle w:val="Lienhypertexte"/>
            <w:rFonts w:ascii="Century Gothic" w:hAnsi="Century Gothic"/>
            <w:i/>
            <w:iCs/>
          </w:rPr>
          <w:t>hier</w:t>
        </w:r>
      </w:hyperlink>
      <w:r w:rsidRPr="002D1A54">
        <w:rPr>
          <w:rFonts w:ascii="Century Gothic" w:hAnsi="Century Gothic"/>
          <w:i/>
          <w:iCs/>
          <w:color w:val="00A4B7" w:themeColor="accent1"/>
        </w:rPr>
        <w:t>):</w:t>
      </w:r>
      <w:r w:rsidRPr="002D1A54">
        <w:rPr>
          <w:rFonts w:ascii="Century Gothic" w:hAnsi="Century Gothic"/>
          <w:i/>
          <w:color w:val="00A4B7" w:themeColor="accent1"/>
        </w:rPr>
        <w:t> </w:t>
      </w:r>
    </w:p>
    <w:p w14:paraId="55616FB1" w14:textId="77777777" w:rsidR="002D1A54" w:rsidRPr="0099601F" w:rsidRDefault="002D1A54" w:rsidP="0020045D">
      <w:pPr>
        <w:pBdr>
          <w:top w:val="single" w:sz="4" w:space="1" w:color="auto"/>
          <w:left w:val="single" w:sz="4" w:space="4" w:color="auto"/>
          <w:bottom w:val="single" w:sz="4" w:space="1" w:color="auto"/>
          <w:right w:val="single" w:sz="4" w:space="4" w:color="auto"/>
        </w:pBdr>
        <w:jc w:val="both"/>
        <w:rPr>
          <w:rFonts w:ascii="Century Gothic" w:hAnsi="Century Gothic"/>
        </w:rPr>
      </w:pPr>
    </w:p>
    <w:p w14:paraId="6444CC76" w14:textId="77777777" w:rsidR="0020045D" w:rsidRPr="0099601F" w:rsidRDefault="0020045D" w:rsidP="0020045D">
      <w:pPr>
        <w:pBdr>
          <w:top w:val="single" w:sz="4" w:space="1" w:color="auto"/>
          <w:left w:val="single" w:sz="4" w:space="4" w:color="auto"/>
          <w:bottom w:val="single" w:sz="4" w:space="1" w:color="auto"/>
          <w:right w:val="single" w:sz="4" w:space="4" w:color="auto"/>
        </w:pBdr>
        <w:jc w:val="both"/>
        <w:rPr>
          <w:rFonts w:ascii="Century Gothic" w:hAnsi="Century Gothic"/>
        </w:rPr>
      </w:pPr>
      <w:r>
        <w:rPr>
          <w:rFonts w:ascii="Century Gothic" w:hAnsi="Century Gothic"/>
        </w:rPr>
        <w:t xml:space="preserve">Overeenkomstig artikel 11 van de wet van 17 juni 2013 </w:t>
      </w:r>
      <w:proofErr w:type="gramStart"/>
      <w:r>
        <w:rPr>
          <w:rFonts w:ascii="Century Gothic" w:hAnsi="Century Gothic"/>
        </w:rPr>
        <w:t>betreffende</w:t>
      </w:r>
      <w:proofErr w:type="gramEnd"/>
      <w:r>
        <w:rPr>
          <w:rFonts w:ascii="Century Gothic" w:hAnsi="Century Gothic"/>
        </w:rPr>
        <w:t xml:space="preserve"> de motivering, de informatie en de rechtsmiddelen inzake overheidsopdrachten en bepaalde opdrachten voor werken, leveringen en diensten wordt er, vóór het sluiten van de opdracht, een wachttijd van vijftien dagen toegekend, te rekenen vanaf de dag na de verzending van onderhavige kennisgeving.</w:t>
      </w:r>
    </w:p>
    <w:p w14:paraId="3E64B198" w14:textId="77777777" w:rsidR="0020045D" w:rsidRPr="0099601F" w:rsidRDefault="0020045D" w:rsidP="0020045D">
      <w:pPr>
        <w:pBdr>
          <w:top w:val="single" w:sz="4" w:space="1" w:color="auto"/>
          <w:left w:val="single" w:sz="4" w:space="4" w:color="auto"/>
          <w:bottom w:val="single" w:sz="4" w:space="1" w:color="auto"/>
          <w:right w:val="single" w:sz="4" w:space="4" w:color="auto"/>
        </w:pBdr>
        <w:jc w:val="both"/>
        <w:rPr>
          <w:rFonts w:ascii="Century Gothic" w:hAnsi="Century Gothic"/>
        </w:rPr>
      </w:pPr>
    </w:p>
    <w:p w14:paraId="37FDEF2F" w14:textId="77777777" w:rsidR="0020045D" w:rsidRPr="0099601F" w:rsidRDefault="0020045D" w:rsidP="0020045D">
      <w:pPr>
        <w:pBdr>
          <w:top w:val="single" w:sz="4" w:space="1" w:color="auto"/>
          <w:left w:val="single" w:sz="4" w:space="4" w:color="auto"/>
          <w:bottom w:val="single" w:sz="4" w:space="1" w:color="auto"/>
          <w:right w:val="single" w:sz="4" w:space="4" w:color="auto"/>
        </w:pBdr>
        <w:jc w:val="both"/>
        <w:rPr>
          <w:rFonts w:ascii="Century Gothic" w:hAnsi="Century Gothic"/>
        </w:rPr>
      </w:pPr>
      <w:r>
        <w:rPr>
          <w:rFonts w:ascii="Century Gothic" w:hAnsi="Century Gothic"/>
        </w:rPr>
        <w:t>Tijdens die termijn kan er bij de Hoven en Rechtbanken van Brussel een vordering tot schorsing van de tenuitvoerlegging van de gunningsbeslissing worden ingediend. Ingeval u een dergelijke vordering zou indienen, verzoeken wij u ons daarvan in kennis te stellen, per fax op het nr. ...</w:t>
      </w:r>
      <w:r>
        <w:rPr>
          <w:rFonts w:ascii="Century Gothic" w:hAnsi="Century Gothic"/>
          <w:i/>
        </w:rPr>
        <w:t xml:space="preserve"> </w:t>
      </w:r>
      <w:r>
        <w:rPr>
          <w:rFonts w:ascii="Century Gothic" w:hAnsi="Century Gothic"/>
          <w:i/>
          <w:color w:val="00A4B7" w:themeColor="accent1"/>
        </w:rPr>
        <w:t>(faxnummer van de OVM)</w:t>
      </w:r>
      <w:r>
        <w:rPr>
          <w:rFonts w:ascii="Century Gothic" w:hAnsi="Century Gothic"/>
        </w:rPr>
        <w:t xml:space="preserve">, per e-mail via het volgende adres: </w:t>
      </w:r>
      <w:r>
        <w:rPr>
          <w:rFonts w:ascii="Century Gothic" w:hAnsi="Century Gothic"/>
          <w:color w:val="00A4B7" w:themeColor="accent1"/>
        </w:rPr>
        <w:t xml:space="preserve">… </w:t>
      </w:r>
      <w:r>
        <w:rPr>
          <w:rFonts w:ascii="Century Gothic" w:hAnsi="Century Gothic"/>
          <w:i/>
          <w:color w:val="00A4B7" w:themeColor="accent1"/>
        </w:rPr>
        <w:t>(e-mailadres van de OVM) </w:t>
      </w:r>
      <w:r>
        <w:rPr>
          <w:rFonts w:ascii="Century Gothic" w:hAnsi="Century Gothic"/>
        </w:rPr>
        <w:t xml:space="preserve">of, desgevallend, door gebruik te maken van de elektronische platformen bedoeld in artikel 14 § 7, van de wet </w:t>
      </w:r>
      <w:proofErr w:type="gramStart"/>
      <w:r>
        <w:rPr>
          <w:rFonts w:ascii="Century Gothic" w:hAnsi="Century Gothic"/>
        </w:rPr>
        <w:t>inzake</w:t>
      </w:r>
      <w:proofErr w:type="gramEnd"/>
      <w:r>
        <w:rPr>
          <w:rFonts w:ascii="Century Gothic" w:hAnsi="Century Gothic"/>
        </w:rPr>
        <w:t xml:space="preserve"> overheidsopdrachten.</w:t>
      </w:r>
    </w:p>
    <w:p w14:paraId="23CDA52F" w14:textId="77777777" w:rsidR="0020045D" w:rsidRPr="0099601F" w:rsidRDefault="0020045D" w:rsidP="0020045D">
      <w:pPr>
        <w:pBdr>
          <w:top w:val="single" w:sz="4" w:space="1" w:color="auto"/>
          <w:left w:val="single" w:sz="4" w:space="4" w:color="auto"/>
          <w:bottom w:val="single" w:sz="4" w:space="1" w:color="auto"/>
          <w:right w:val="single" w:sz="4" w:space="4" w:color="auto"/>
        </w:pBdr>
        <w:jc w:val="both"/>
        <w:rPr>
          <w:rFonts w:ascii="Century Gothic" w:hAnsi="Century Gothic"/>
        </w:rPr>
      </w:pPr>
    </w:p>
    <w:p w14:paraId="2346BE03" w14:textId="77777777" w:rsidR="0020045D" w:rsidRPr="0099601F" w:rsidRDefault="0020045D" w:rsidP="0020045D">
      <w:pPr>
        <w:jc w:val="both"/>
        <w:rPr>
          <w:rFonts w:ascii="Century Gothic" w:hAnsi="Century Gothic"/>
        </w:rPr>
      </w:pPr>
    </w:p>
    <w:p w14:paraId="6BF44CEF" w14:textId="77777777" w:rsidR="0020045D" w:rsidRPr="0099601F" w:rsidRDefault="0020045D" w:rsidP="0020045D">
      <w:pPr>
        <w:jc w:val="both"/>
        <w:rPr>
          <w:rFonts w:ascii="Century Gothic" w:hAnsi="Century Gothic"/>
        </w:rPr>
      </w:pPr>
    </w:p>
    <w:p w14:paraId="1638507B" w14:textId="77777777" w:rsidR="0020045D" w:rsidRPr="0099601F" w:rsidRDefault="0020045D" w:rsidP="00FB66BB">
      <w:pPr>
        <w:jc w:val="center"/>
        <w:rPr>
          <w:rFonts w:ascii="Century Gothic" w:hAnsi="Century Gothic"/>
        </w:rPr>
      </w:pPr>
      <w:r>
        <w:rPr>
          <w:rFonts w:ascii="Century Gothic" w:hAnsi="Century Gothic"/>
        </w:rPr>
        <w:t>Met hoogachting,</w:t>
      </w:r>
    </w:p>
    <w:p w14:paraId="097448A4" w14:textId="77777777" w:rsidR="0020045D" w:rsidRPr="0099601F" w:rsidRDefault="0020045D" w:rsidP="0020045D">
      <w:pPr>
        <w:jc w:val="both"/>
        <w:rPr>
          <w:rFonts w:ascii="Century Gothic" w:hAnsi="Century Gothic"/>
        </w:rPr>
      </w:pPr>
    </w:p>
    <w:p w14:paraId="4D1379C5" w14:textId="77777777" w:rsidR="0020045D" w:rsidRPr="0099601F" w:rsidRDefault="0020045D" w:rsidP="0020045D">
      <w:pPr>
        <w:jc w:val="both"/>
        <w:rPr>
          <w:rFonts w:ascii="Century Gothic" w:hAnsi="Century Gothic"/>
          <w:u w:val="single"/>
        </w:rPr>
      </w:pPr>
    </w:p>
    <w:p w14:paraId="7F334B43" w14:textId="77777777" w:rsidR="0020045D" w:rsidRPr="0099601F" w:rsidRDefault="0020045D" w:rsidP="0020045D">
      <w:pPr>
        <w:jc w:val="both"/>
        <w:rPr>
          <w:rFonts w:ascii="Century Gothic" w:hAnsi="Century Gothic"/>
          <w:u w:val="single"/>
        </w:rPr>
      </w:pPr>
    </w:p>
    <w:p w14:paraId="6DDB3B3A" w14:textId="77777777" w:rsidR="0020045D" w:rsidRPr="0099601F" w:rsidRDefault="0020045D" w:rsidP="0020045D">
      <w:pPr>
        <w:jc w:val="both"/>
        <w:rPr>
          <w:rFonts w:ascii="Century Gothic" w:hAnsi="Century Gothic"/>
          <w:u w:val="single"/>
        </w:rPr>
      </w:pPr>
    </w:p>
    <w:p w14:paraId="0E7C23DF" w14:textId="77777777" w:rsidR="00374E72" w:rsidRPr="006A3E33" w:rsidRDefault="0020045D" w:rsidP="00FB66BB">
      <w:pPr>
        <w:jc w:val="both"/>
        <w:rPr>
          <w:rFonts w:ascii="Century Gothic" w:hAnsi="Century Gothic"/>
          <w:b/>
          <w:sz w:val="32"/>
          <w:szCs w:val="32"/>
        </w:rPr>
      </w:pPr>
      <w:r>
        <w:rPr>
          <w:rFonts w:ascii="Century Gothic" w:hAnsi="Century Gothic"/>
          <w:u w:val="single"/>
        </w:rPr>
        <w:t>Bijlage:</w:t>
      </w:r>
      <w:r>
        <w:rPr>
          <w:rFonts w:ascii="Century Gothic" w:hAnsi="Century Gothic"/>
        </w:rPr>
        <w:t xml:space="preserve"> uittreksel uit de gunningsbeslissing met betrekking tot de onregelmatigheid van de offerte van de inschrijver.</w:t>
      </w:r>
      <w:r w:rsidR="00374E72">
        <w:br w:type="page"/>
      </w:r>
    </w:p>
    <w:p w14:paraId="06180098" w14:textId="77777777" w:rsidR="00AA30B8" w:rsidRDefault="00AA30B8" w:rsidP="00DA6050">
      <w:pPr>
        <w:jc w:val="both"/>
        <w:rPr>
          <w:rFonts w:ascii="Century Gothic" w:hAnsi="Century Gothic"/>
          <w:b/>
          <w:sz w:val="18"/>
          <w:szCs w:val="18"/>
        </w:rPr>
        <w:sectPr w:rsidR="00AA30B8">
          <w:footerReference w:type="default" r:id="rId12"/>
          <w:pgSz w:w="11906" w:h="16838"/>
          <w:pgMar w:top="1417" w:right="1417" w:bottom="1417" w:left="1417" w:header="708" w:footer="708" w:gutter="0"/>
          <w:cols w:space="708"/>
          <w:docGrid w:linePitch="360"/>
        </w:sectPr>
      </w:pPr>
    </w:p>
    <w:p w14:paraId="61DB83D6" w14:textId="77777777" w:rsidR="00374E72" w:rsidRPr="00FB66BB" w:rsidRDefault="00DA6050" w:rsidP="00DA6050">
      <w:pPr>
        <w:jc w:val="both"/>
        <w:rPr>
          <w:rFonts w:ascii="Century Gothic" w:hAnsi="Century Gothic"/>
          <w:b/>
          <w:sz w:val="15"/>
          <w:szCs w:val="15"/>
        </w:rPr>
      </w:pPr>
      <w:r w:rsidRPr="00FB66BB">
        <w:rPr>
          <w:rFonts w:ascii="Century Gothic" w:hAnsi="Century Gothic"/>
          <w:b/>
          <w:sz w:val="15"/>
          <w:szCs w:val="15"/>
        </w:rPr>
        <w:lastRenderedPageBreak/>
        <w:t>VERHAALPROCEDURES</w:t>
      </w:r>
    </w:p>
    <w:p w14:paraId="3D5D808F" w14:textId="77777777" w:rsidR="00DA6050" w:rsidRPr="00FB66BB" w:rsidRDefault="00DA6050" w:rsidP="00DA6050">
      <w:pPr>
        <w:jc w:val="both"/>
        <w:rPr>
          <w:rFonts w:ascii="Century Gothic" w:hAnsi="Century Gothic"/>
          <w:sz w:val="15"/>
          <w:szCs w:val="15"/>
        </w:rPr>
      </w:pPr>
      <w:r w:rsidRPr="00FB66BB">
        <w:rPr>
          <w:rFonts w:ascii="Century Gothic" w:hAnsi="Century Gothic"/>
          <w:sz w:val="15"/>
          <w:szCs w:val="15"/>
        </w:rPr>
        <w:t xml:space="preserve">Uittreksels uit de wet van 17 juni 2013 </w:t>
      </w:r>
      <w:proofErr w:type="gramStart"/>
      <w:r w:rsidRPr="00FB66BB">
        <w:rPr>
          <w:rFonts w:ascii="Century Gothic" w:hAnsi="Century Gothic"/>
          <w:sz w:val="15"/>
          <w:szCs w:val="15"/>
        </w:rPr>
        <w:t>betreffende</w:t>
      </w:r>
      <w:proofErr w:type="gramEnd"/>
      <w:r w:rsidRPr="00FB66BB">
        <w:rPr>
          <w:rFonts w:ascii="Century Gothic" w:hAnsi="Century Gothic"/>
          <w:sz w:val="15"/>
          <w:szCs w:val="15"/>
        </w:rPr>
        <w:t xml:space="preserve"> de motivering, de informatie en de rechtsmiddelen inzake overheidsopdrachten, bepaalde opdrachten voor werken, leveringen en diensten en concessies:</w:t>
      </w:r>
    </w:p>
    <w:p w14:paraId="4719C34B" w14:textId="77777777" w:rsidR="00DA6050" w:rsidRPr="00FB66BB" w:rsidRDefault="00DA6050" w:rsidP="00DA6050">
      <w:pPr>
        <w:jc w:val="both"/>
        <w:rPr>
          <w:rFonts w:ascii="Century Gothic" w:hAnsi="Century Gothic"/>
          <w:b/>
          <w:sz w:val="15"/>
          <w:szCs w:val="15"/>
        </w:rPr>
      </w:pPr>
      <w:r w:rsidRPr="00FB66BB">
        <w:rPr>
          <w:rFonts w:ascii="Century Gothic" w:hAnsi="Century Gothic"/>
          <w:b/>
          <w:sz w:val="15"/>
          <w:szCs w:val="15"/>
        </w:rPr>
        <w:t>Vernietiging</w:t>
      </w:r>
    </w:p>
    <w:p w14:paraId="4265E9D0" w14:textId="77777777" w:rsidR="00DA6050" w:rsidRPr="00FB66BB" w:rsidRDefault="00DA6050" w:rsidP="00DA6050">
      <w:pPr>
        <w:jc w:val="both"/>
        <w:rPr>
          <w:rFonts w:ascii="Century Gothic" w:hAnsi="Century Gothic"/>
          <w:sz w:val="15"/>
          <w:szCs w:val="15"/>
        </w:rPr>
      </w:pPr>
      <w:r w:rsidRPr="00FB66BB">
        <w:rPr>
          <w:rFonts w:ascii="Century Gothic" w:hAnsi="Century Gothic"/>
          <w:sz w:val="15"/>
          <w:szCs w:val="15"/>
        </w:rPr>
        <w:t xml:space="preserve">Art. 14. Op verzoek van elke persoon die een belang heeft of heeft gehad om een bepaalde opdracht of concessie te krijgen en die door de beweerde schending is of dreigt te worden benadeeld, kan de verhaalinstantie de beslissingen van de aanbestedende instanties vernietigen, waaronder die welke berusten op discriminerende technische, economische en financiële specificaties, omdat deze beslissingen een machtsafwending inhouden of een inbreuk vormen </w:t>
      </w:r>
      <w:proofErr w:type="gramStart"/>
      <w:r w:rsidRPr="00FB66BB">
        <w:rPr>
          <w:rFonts w:ascii="Century Gothic" w:hAnsi="Century Gothic"/>
          <w:sz w:val="15"/>
          <w:szCs w:val="15"/>
        </w:rPr>
        <w:t>op :</w:t>
      </w:r>
      <w:proofErr w:type="gramEnd"/>
    </w:p>
    <w:p w14:paraId="5AC7BB09" w14:textId="77777777" w:rsidR="00DA6050" w:rsidRPr="00FB66BB" w:rsidRDefault="00DA6050" w:rsidP="00DA6050">
      <w:pPr>
        <w:jc w:val="both"/>
        <w:rPr>
          <w:rFonts w:ascii="Century Gothic" w:hAnsi="Century Gothic"/>
          <w:sz w:val="15"/>
          <w:szCs w:val="15"/>
        </w:rPr>
      </w:pPr>
      <w:r w:rsidRPr="00FB66BB">
        <w:rPr>
          <w:rFonts w:ascii="Century Gothic" w:hAnsi="Century Gothic"/>
          <w:sz w:val="15"/>
          <w:szCs w:val="15"/>
        </w:rPr>
        <w:t xml:space="preserve">  1° het op de betreffende opdracht of concessie toepasselijke recht van de Europese Unie </w:t>
      </w:r>
      <w:proofErr w:type="gramStart"/>
      <w:r w:rsidRPr="00FB66BB">
        <w:rPr>
          <w:rFonts w:ascii="Century Gothic" w:hAnsi="Century Gothic"/>
          <w:sz w:val="15"/>
          <w:szCs w:val="15"/>
        </w:rPr>
        <w:t>inzake</w:t>
      </w:r>
      <w:proofErr w:type="gramEnd"/>
      <w:r w:rsidRPr="00FB66BB">
        <w:rPr>
          <w:rFonts w:ascii="Century Gothic" w:hAnsi="Century Gothic"/>
          <w:sz w:val="15"/>
          <w:szCs w:val="15"/>
        </w:rPr>
        <w:t xml:space="preserve"> overheidsopdrachten of concessies, alsook de wetgeving overheidsopdrachten of concessies;</w:t>
      </w:r>
    </w:p>
    <w:p w14:paraId="3B5F2661" w14:textId="77777777" w:rsidR="00DA6050" w:rsidRPr="00FB66BB" w:rsidRDefault="00DA6050" w:rsidP="00DA6050">
      <w:pPr>
        <w:jc w:val="both"/>
        <w:rPr>
          <w:rFonts w:ascii="Century Gothic" w:hAnsi="Century Gothic"/>
          <w:sz w:val="15"/>
          <w:szCs w:val="15"/>
        </w:rPr>
      </w:pPr>
      <w:r w:rsidRPr="00FB66BB">
        <w:rPr>
          <w:rFonts w:ascii="Century Gothic" w:hAnsi="Century Gothic"/>
          <w:sz w:val="15"/>
          <w:szCs w:val="15"/>
        </w:rPr>
        <w:t xml:space="preserve">  2° de grondwettelijke, wettelijke of reglementaire bepalingen, alsook de algemene rechtsbeginselen die op de betreffende opdracht of concessie van toepassing zijn;</w:t>
      </w:r>
    </w:p>
    <w:p w14:paraId="4C503679" w14:textId="77777777" w:rsidR="00DA6050" w:rsidRPr="00FB66BB" w:rsidRDefault="00DA6050" w:rsidP="00DA6050">
      <w:pPr>
        <w:jc w:val="both"/>
        <w:rPr>
          <w:rFonts w:ascii="Century Gothic" w:hAnsi="Century Gothic"/>
          <w:sz w:val="15"/>
          <w:szCs w:val="15"/>
        </w:rPr>
      </w:pPr>
      <w:r w:rsidRPr="00FB66BB">
        <w:rPr>
          <w:rFonts w:ascii="Century Gothic" w:hAnsi="Century Gothic"/>
          <w:sz w:val="15"/>
          <w:szCs w:val="15"/>
        </w:rPr>
        <w:t xml:space="preserve">  3° de opdracht- of concessiedocumenten.</w:t>
      </w:r>
    </w:p>
    <w:p w14:paraId="3C4694A0" w14:textId="77777777" w:rsidR="00DA6050" w:rsidRPr="00FB66BB" w:rsidRDefault="00DA6050" w:rsidP="00DA6050">
      <w:pPr>
        <w:jc w:val="both"/>
        <w:rPr>
          <w:rFonts w:ascii="Century Gothic" w:hAnsi="Century Gothic"/>
          <w:b/>
          <w:sz w:val="15"/>
          <w:szCs w:val="15"/>
        </w:rPr>
      </w:pPr>
      <w:r w:rsidRPr="00FB66BB">
        <w:rPr>
          <w:rFonts w:ascii="Century Gothic" w:hAnsi="Century Gothic"/>
          <w:b/>
          <w:sz w:val="15"/>
          <w:szCs w:val="15"/>
        </w:rPr>
        <w:t>Schorsing</w:t>
      </w:r>
    </w:p>
    <w:p w14:paraId="7AC0A1B4" w14:textId="77777777" w:rsidR="00DA6050" w:rsidRPr="00FB66BB" w:rsidRDefault="00DA6050" w:rsidP="00DA6050">
      <w:pPr>
        <w:jc w:val="both"/>
        <w:rPr>
          <w:rFonts w:ascii="Century Gothic" w:hAnsi="Century Gothic"/>
          <w:sz w:val="15"/>
          <w:szCs w:val="15"/>
        </w:rPr>
      </w:pPr>
      <w:r w:rsidRPr="00FB66BB">
        <w:rPr>
          <w:rFonts w:ascii="Century Gothic" w:hAnsi="Century Gothic"/>
          <w:sz w:val="15"/>
          <w:szCs w:val="15"/>
        </w:rPr>
        <w:t xml:space="preserve">  Art. 15. Onder dezelfde voorwaarden als die bedoeld in artikel 14 en zonder dat het bewijs van spoedeisendheid is vereist, kan de verhaalinstantie, in aanwezigheid van een ernstig middel of een klaarblijkelijke onwettigheid, eventueel op straffe van een dwangsom, de uitvoering van de in artikel 14 bedoelde beslissingen schorsen en, wat betreft de Raad van State, zolang het vernietigingsberoep bij hem aanhangig </w:t>
      </w:r>
      <w:proofErr w:type="gramStart"/>
      <w:r w:rsidRPr="00FB66BB">
        <w:rPr>
          <w:rFonts w:ascii="Century Gothic" w:hAnsi="Century Gothic"/>
          <w:sz w:val="15"/>
          <w:szCs w:val="15"/>
        </w:rPr>
        <w:t>is :</w:t>
      </w:r>
      <w:proofErr w:type="gramEnd"/>
    </w:p>
    <w:p w14:paraId="4B085F97" w14:textId="77777777" w:rsidR="00DA6050" w:rsidRPr="00FB66BB" w:rsidRDefault="00DA6050" w:rsidP="00DA6050">
      <w:pPr>
        <w:jc w:val="both"/>
        <w:rPr>
          <w:rFonts w:ascii="Century Gothic" w:hAnsi="Century Gothic"/>
          <w:sz w:val="15"/>
          <w:szCs w:val="15"/>
        </w:rPr>
      </w:pPr>
      <w:r w:rsidRPr="00FB66BB">
        <w:rPr>
          <w:rFonts w:ascii="Century Gothic" w:hAnsi="Century Gothic"/>
          <w:sz w:val="15"/>
          <w:szCs w:val="15"/>
        </w:rPr>
        <w:t xml:space="preserve">  1° de voorlopige maatregelen bevelen om de beweerde schending ongedaan te maken of te voorkomen dat de betrokken belangen worden geschaad;</w:t>
      </w:r>
    </w:p>
    <w:p w14:paraId="1B47FE99" w14:textId="77777777" w:rsidR="00DA6050" w:rsidRPr="00FB66BB" w:rsidRDefault="00DA6050" w:rsidP="00DA6050">
      <w:pPr>
        <w:jc w:val="both"/>
        <w:rPr>
          <w:rFonts w:ascii="Century Gothic" w:hAnsi="Century Gothic"/>
          <w:sz w:val="15"/>
          <w:szCs w:val="15"/>
        </w:rPr>
      </w:pPr>
      <w:r w:rsidRPr="00FB66BB">
        <w:rPr>
          <w:rFonts w:ascii="Century Gothic" w:hAnsi="Century Gothic"/>
          <w:sz w:val="15"/>
          <w:szCs w:val="15"/>
        </w:rPr>
        <w:t xml:space="preserve">  2° de voorlopige maatregelen bevelen die noodzakelijk zijn voor de uitvoering van haar uitspraak.</w:t>
      </w:r>
    </w:p>
    <w:p w14:paraId="33FEE5C9" w14:textId="77777777" w:rsidR="00DA6050" w:rsidRPr="00FB66BB" w:rsidRDefault="00DA6050" w:rsidP="00DA6050">
      <w:pPr>
        <w:jc w:val="both"/>
        <w:rPr>
          <w:rFonts w:ascii="Century Gothic" w:hAnsi="Century Gothic"/>
          <w:sz w:val="15"/>
          <w:szCs w:val="15"/>
        </w:rPr>
      </w:pPr>
      <w:r w:rsidRPr="00FB66BB">
        <w:rPr>
          <w:rFonts w:ascii="Century Gothic" w:hAnsi="Century Gothic"/>
          <w:sz w:val="15"/>
          <w:szCs w:val="15"/>
        </w:rPr>
        <w:t xml:space="preserve">  Naargelang de bevoegde verhaalinstantie overeenkomstig artikel 24, worden de vordering tot schorsing en de vordering tot voorlopige maatregelen ingediend uitsluitend volgens een procedure bij uiterst dringende noodzakelijkheid voor de Raad van State, dan wel uitsluitend in kort geding voor de gewone rechter.</w:t>
      </w:r>
    </w:p>
    <w:p w14:paraId="54C21E52" w14:textId="77777777" w:rsidR="00DA6050" w:rsidRPr="00FB66BB" w:rsidRDefault="00DA6050" w:rsidP="00DA6050">
      <w:pPr>
        <w:jc w:val="both"/>
        <w:rPr>
          <w:rFonts w:ascii="Century Gothic" w:hAnsi="Century Gothic"/>
          <w:sz w:val="15"/>
          <w:szCs w:val="15"/>
        </w:rPr>
      </w:pPr>
      <w:r w:rsidRPr="00FB66BB">
        <w:rPr>
          <w:rFonts w:ascii="Century Gothic" w:hAnsi="Century Gothic"/>
          <w:sz w:val="15"/>
          <w:szCs w:val="15"/>
        </w:rPr>
        <w:t xml:space="preserve">  De verhaalinstantie kan, ambtshalve of op verzoek van één van de partijen, rekening houden met de vermoedelijke gevolgen van de schorsing van de uitvoering en van de voorlopige maatregelen voor alle belangen die kunnen worden geschaad, alsook met het openbaar belang, en kan beslissen om de schorsing van de uitvoering of de voorlopige maatregelen niet toe te staan wanneer de negatieve gevolgen ervan groter zouden zijn dan de voordelen ervan.</w:t>
      </w:r>
    </w:p>
    <w:p w14:paraId="36120283" w14:textId="77777777" w:rsidR="00DA6050" w:rsidRPr="00FB66BB" w:rsidRDefault="00DA6050" w:rsidP="00DA6050">
      <w:pPr>
        <w:jc w:val="both"/>
        <w:rPr>
          <w:rFonts w:ascii="Century Gothic" w:hAnsi="Century Gothic"/>
          <w:sz w:val="15"/>
          <w:szCs w:val="15"/>
        </w:rPr>
      </w:pPr>
      <w:r w:rsidRPr="00FB66BB">
        <w:rPr>
          <w:rFonts w:ascii="Century Gothic" w:hAnsi="Century Gothic"/>
          <w:sz w:val="15"/>
          <w:szCs w:val="15"/>
        </w:rPr>
        <w:t xml:space="preserve">  De beslissing om de schorsing van de uitvoering of de voorlopige maatregelen niet toe te staan, doet geen afbreuk aan de andere door de indiener ingeroepen rechten.</w:t>
      </w:r>
    </w:p>
    <w:p w14:paraId="6BF72372" w14:textId="77777777" w:rsidR="00DA6050" w:rsidRPr="00FB66BB" w:rsidRDefault="00DA6050" w:rsidP="00DA6050">
      <w:pPr>
        <w:jc w:val="both"/>
        <w:rPr>
          <w:rFonts w:ascii="Century Gothic" w:hAnsi="Century Gothic"/>
          <w:sz w:val="15"/>
          <w:szCs w:val="15"/>
        </w:rPr>
      </w:pPr>
      <w:r w:rsidRPr="00FB66BB">
        <w:rPr>
          <w:rFonts w:ascii="Century Gothic" w:hAnsi="Century Gothic"/>
          <w:sz w:val="15"/>
          <w:szCs w:val="15"/>
        </w:rPr>
        <w:t xml:space="preserve">  De vordering tot voorlopige maatregelen kan samen met de in het eerste lid bedoelde vordering tot schorsing of, wanneer de schorsing van de uitvoering van de beslissing wordt bevolen, samen met de in artikel 14 bedoelde vordering tot nietigverklaring of afzonderlijk worden ingediend.</w:t>
      </w:r>
    </w:p>
    <w:p w14:paraId="0317ADAD" w14:textId="77777777" w:rsidR="00DA6050" w:rsidRPr="00FB66BB" w:rsidRDefault="00DA6050" w:rsidP="00DA6050">
      <w:pPr>
        <w:jc w:val="both"/>
        <w:rPr>
          <w:rFonts w:ascii="Century Gothic" w:hAnsi="Century Gothic"/>
          <w:b/>
          <w:sz w:val="15"/>
          <w:szCs w:val="15"/>
        </w:rPr>
      </w:pPr>
      <w:r w:rsidRPr="00FB66BB">
        <w:rPr>
          <w:rFonts w:ascii="Century Gothic" w:hAnsi="Century Gothic"/>
          <w:b/>
          <w:sz w:val="15"/>
          <w:szCs w:val="15"/>
        </w:rPr>
        <w:t>Verhaaltermijnen</w:t>
      </w:r>
    </w:p>
    <w:p w14:paraId="3E6E70A2" w14:textId="77777777" w:rsidR="00DA6050" w:rsidRPr="00FB66BB" w:rsidRDefault="00DA6050" w:rsidP="00DA6050">
      <w:pPr>
        <w:jc w:val="both"/>
        <w:rPr>
          <w:rFonts w:ascii="Century Gothic" w:hAnsi="Century Gothic"/>
          <w:sz w:val="15"/>
          <w:szCs w:val="15"/>
        </w:rPr>
      </w:pPr>
      <w:r w:rsidRPr="00FB66BB">
        <w:rPr>
          <w:rFonts w:ascii="Century Gothic" w:hAnsi="Century Gothic"/>
          <w:sz w:val="15"/>
          <w:szCs w:val="15"/>
        </w:rPr>
        <w:t xml:space="preserve">  Art. 23. § 1. De verhaalprocedures worden, op straffe van niet-ontvankelijkheid, ingesteld binnen de in de §§ 2 tot 4, 5, eerste lid, en 6, bedoelde termijnen vanaf de bekendmaking, de kennisgeving of de kennisneming van de rechtshandeling, al naargelang.</w:t>
      </w:r>
    </w:p>
    <w:p w14:paraId="2DE3C5D4" w14:textId="77777777" w:rsidR="00DA6050" w:rsidRPr="00FB66BB" w:rsidRDefault="00DA6050" w:rsidP="00DA6050">
      <w:pPr>
        <w:jc w:val="both"/>
        <w:rPr>
          <w:rFonts w:ascii="Century Gothic" w:hAnsi="Century Gothic"/>
          <w:sz w:val="15"/>
          <w:szCs w:val="15"/>
        </w:rPr>
      </w:pPr>
      <w:r w:rsidRPr="00FB66BB">
        <w:rPr>
          <w:rFonts w:ascii="Century Gothic" w:hAnsi="Century Gothic"/>
          <w:sz w:val="15"/>
          <w:szCs w:val="15"/>
        </w:rPr>
        <w:t xml:space="preserve">  Wanneer deze wet een mededelingsplicht oplegt, in geval van niet-gelijktijdige zendingen, beginnen de </w:t>
      </w:r>
      <w:r w:rsidRPr="00FB66BB">
        <w:rPr>
          <w:rFonts w:ascii="Century Gothic" w:hAnsi="Century Gothic"/>
          <w:sz w:val="15"/>
          <w:szCs w:val="15"/>
        </w:rPr>
        <w:t>termijnen te lopen vanaf de dag van de laatste verzending.  In elk geval beginnen de termijnen maar te lopen voor zover de motivering is meegedeeld.</w:t>
      </w:r>
    </w:p>
    <w:p w14:paraId="162931BB" w14:textId="77777777" w:rsidR="00DA6050" w:rsidRPr="00FB66BB" w:rsidRDefault="00DA6050" w:rsidP="00DA6050">
      <w:pPr>
        <w:jc w:val="both"/>
        <w:rPr>
          <w:rFonts w:ascii="Century Gothic" w:hAnsi="Century Gothic"/>
          <w:sz w:val="15"/>
          <w:szCs w:val="15"/>
        </w:rPr>
      </w:pPr>
      <w:r w:rsidRPr="00FB66BB">
        <w:rPr>
          <w:rFonts w:ascii="Century Gothic" w:hAnsi="Century Gothic"/>
          <w:sz w:val="15"/>
          <w:szCs w:val="15"/>
        </w:rPr>
        <w:t xml:space="preserve">  § 2. Het in artikel 14 bedoelde verhaal tot vernietiging wordt ingesteld binnen een termijn van zestig dagen, onverminderd artikel 9/1, § 2, tweede lid.</w:t>
      </w:r>
    </w:p>
    <w:p w14:paraId="456592FF" w14:textId="77777777" w:rsidR="00DA6050" w:rsidRPr="00FB66BB" w:rsidRDefault="00DA6050" w:rsidP="00DA6050">
      <w:pPr>
        <w:jc w:val="both"/>
        <w:rPr>
          <w:rFonts w:ascii="Century Gothic" w:hAnsi="Century Gothic"/>
          <w:sz w:val="15"/>
          <w:szCs w:val="15"/>
        </w:rPr>
      </w:pPr>
      <w:r w:rsidRPr="00FB66BB">
        <w:rPr>
          <w:rFonts w:ascii="Century Gothic" w:hAnsi="Century Gothic"/>
          <w:sz w:val="15"/>
          <w:szCs w:val="15"/>
        </w:rPr>
        <w:t xml:space="preserve">  § 3. De in artikel 15 bedoelde vordering tot schorsing wordt ingediend binnen een termijn van vijftien dagen.  Ingeval toepassing wordt gemaakt van artikel 18 bedraagt de termijn tien dagen.</w:t>
      </w:r>
    </w:p>
    <w:p w14:paraId="64C52616" w14:textId="77777777" w:rsidR="00DA6050" w:rsidRPr="00FB66BB" w:rsidRDefault="00DA6050" w:rsidP="00DA6050">
      <w:pPr>
        <w:jc w:val="both"/>
        <w:rPr>
          <w:rFonts w:ascii="Century Gothic" w:hAnsi="Century Gothic"/>
          <w:sz w:val="15"/>
          <w:szCs w:val="15"/>
        </w:rPr>
      </w:pPr>
      <w:r w:rsidRPr="00FB66BB">
        <w:rPr>
          <w:rFonts w:ascii="Century Gothic" w:hAnsi="Century Gothic"/>
          <w:sz w:val="15"/>
          <w:szCs w:val="15"/>
        </w:rPr>
        <w:t xml:space="preserve">  § 4. Onverminderd de bepalingen die van toepassing zijn op de schadevergoeding tot herstel bedoeld in artikel 11bis van de wetten op de Raad van State, gecoördineerd op 12 januari 1973, worden het verhaal tot schadevergoeding en de vordering tot forfaitaire schadevergoeding, bedoeld in artikel 16, ingesteld binnen een termijn van vijf jaar.</w:t>
      </w:r>
    </w:p>
    <w:p w14:paraId="7A5317F2" w14:textId="77777777" w:rsidR="00DA6050" w:rsidRPr="00FB66BB" w:rsidRDefault="00DA6050" w:rsidP="00DA6050">
      <w:pPr>
        <w:jc w:val="both"/>
        <w:rPr>
          <w:rFonts w:ascii="Century Gothic" w:hAnsi="Century Gothic"/>
          <w:sz w:val="15"/>
          <w:szCs w:val="15"/>
        </w:rPr>
      </w:pPr>
      <w:r w:rsidRPr="00FB66BB">
        <w:rPr>
          <w:rFonts w:ascii="Century Gothic" w:hAnsi="Century Gothic"/>
          <w:sz w:val="15"/>
          <w:szCs w:val="15"/>
        </w:rPr>
        <w:t xml:space="preserve">  § 5. Het in artikel 17 bedoelde verhaal tot </w:t>
      </w:r>
      <w:proofErr w:type="spellStart"/>
      <w:r w:rsidRPr="00FB66BB">
        <w:rPr>
          <w:rFonts w:ascii="Century Gothic" w:hAnsi="Century Gothic"/>
          <w:sz w:val="15"/>
          <w:szCs w:val="15"/>
        </w:rPr>
        <w:t>onverbindendverklaring</w:t>
      </w:r>
      <w:proofErr w:type="spellEnd"/>
      <w:r w:rsidRPr="00FB66BB">
        <w:rPr>
          <w:rFonts w:ascii="Century Gothic" w:hAnsi="Century Gothic"/>
          <w:sz w:val="15"/>
          <w:szCs w:val="15"/>
        </w:rPr>
        <w:t xml:space="preserve"> wordt ingesteld binnen een termijn van dertig dagen die ingaat de dag waarop de aanbestedende instantie, </w:t>
      </w:r>
      <w:proofErr w:type="gramStart"/>
      <w:r w:rsidRPr="00FB66BB">
        <w:rPr>
          <w:rFonts w:ascii="Century Gothic" w:hAnsi="Century Gothic"/>
          <w:sz w:val="15"/>
          <w:szCs w:val="15"/>
        </w:rPr>
        <w:t>hetzij :</w:t>
      </w:r>
      <w:proofErr w:type="gramEnd"/>
    </w:p>
    <w:p w14:paraId="60CA85B7" w14:textId="77777777" w:rsidR="00DA6050" w:rsidRPr="00FB66BB" w:rsidRDefault="00DA6050" w:rsidP="00DA6050">
      <w:pPr>
        <w:jc w:val="both"/>
        <w:rPr>
          <w:rFonts w:ascii="Century Gothic" w:hAnsi="Century Gothic"/>
          <w:sz w:val="15"/>
          <w:szCs w:val="15"/>
        </w:rPr>
      </w:pPr>
      <w:r w:rsidRPr="00FB66BB">
        <w:rPr>
          <w:rFonts w:ascii="Century Gothic" w:hAnsi="Century Gothic"/>
          <w:sz w:val="15"/>
          <w:szCs w:val="15"/>
        </w:rPr>
        <w:t xml:space="preserve">   1° de aankondiging van gegunde opdracht of concessie heeft bekendgemaakt overeenkomstig de daartoe vastgestelde bepalingen, wanneer de aanbestedende instantie beslist heeft deze opdracht of concessie te plaatsen zonder voorafgaande bekendmaking van een aankondiging van opdracht of van concessie in het Publicatieblad van de Europese Unie en het Bulletin der Aanbestedingen en de aankondiging van gegunde opdracht of concessie de rechtvaardiging van deze beslissing bevat, of</w:t>
      </w:r>
    </w:p>
    <w:p w14:paraId="54789F69" w14:textId="77777777" w:rsidR="00DA6050" w:rsidRPr="00FB66BB" w:rsidRDefault="00DA6050" w:rsidP="00DA6050">
      <w:pPr>
        <w:jc w:val="both"/>
        <w:rPr>
          <w:rFonts w:ascii="Century Gothic" w:hAnsi="Century Gothic"/>
          <w:sz w:val="15"/>
          <w:szCs w:val="15"/>
        </w:rPr>
      </w:pPr>
      <w:r w:rsidRPr="00FB66BB">
        <w:rPr>
          <w:rFonts w:ascii="Century Gothic" w:hAnsi="Century Gothic"/>
          <w:sz w:val="15"/>
          <w:szCs w:val="15"/>
        </w:rPr>
        <w:t xml:space="preserve">   2° de betrokken kandidaten en inschrijvers ervan in kennis heeft gesteld dat de opdracht of de concessie werd gesloten en hen tegelijk de gemotiveerde beslissing heeft meegedeeld die op hen betrekking heeft.</w:t>
      </w:r>
    </w:p>
    <w:p w14:paraId="3288687F" w14:textId="77777777" w:rsidR="00DA6050" w:rsidRPr="00FB66BB" w:rsidRDefault="00DA6050" w:rsidP="00DA6050">
      <w:pPr>
        <w:jc w:val="both"/>
        <w:rPr>
          <w:rFonts w:ascii="Century Gothic" w:hAnsi="Century Gothic"/>
          <w:sz w:val="15"/>
          <w:szCs w:val="15"/>
        </w:rPr>
      </w:pPr>
      <w:r w:rsidRPr="00FB66BB">
        <w:rPr>
          <w:rFonts w:ascii="Century Gothic" w:hAnsi="Century Gothic"/>
          <w:sz w:val="15"/>
          <w:szCs w:val="15"/>
        </w:rPr>
        <w:t xml:space="preserve">   De verhaaltermijn bedraagt zes maanden vanaf de dag waarop de opdracht of de concessie werd gesloten, wanneer de aanbestedende instantie de bepalingen van het eerste lid niet naleeft. </w:t>
      </w:r>
    </w:p>
    <w:p w14:paraId="361D9273" w14:textId="77777777" w:rsidR="00DA6050" w:rsidRPr="00FB66BB" w:rsidRDefault="00DA6050" w:rsidP="00DA6050">
      <w:pPr>
        <w:jc w:val="both"/>
        <w:rPr>
          <w:rFonts w:ascii="Century Gothic" w:hAnsi="Century Gothic"/>
          <w:sz w:val="15"/>
          <w:szCs w:val="15"/>
        </w:rPr>
      </w:pPr>
      <w:r w:rsidRPr="00FB66BB">
        <w:rPr>
          <w:rFonts w:ascii="Century Gothic" w:hAnsi="Century Gothic"/>
          <w:sz w:val="15"/>
          <w:szCs w:val="15"/>
        </w:rPr>
        <w:t xml:space="preserve">  § 6. Het in artikel 22 bedoelde verhaal tot alternatieve sancties wordt ingesteld binnen een termijn van zes maanden.</w:t>
      </w:r>
    </w:p>
    <w:p w14:paraId="2788161A" w14:textId="77777777" w:rsidR="00DA6050" w:rsidRPr="00FB66BB" w:rsidRDefault="00DA6050" w:rsidP="00DA6050">
      <w:pPr>
        <w:jc w:val="both"/>
        <w:rPr>
          <w:rFonts w:ascii="Century Gothic" w:hAnsi="Century Gothic"/>
          <w:b/>
          <w:sz w:val="15"/>
          <w:szCs w:val="15"/>
        </w:rPr>
      </w:pPr>
      <w:r w:rsidRPr="00FB66BB">
        <w:rPr>
          <w:rFonts w:ascii="Century Gothic" w:hAnsi="Century Gothic"/>
          <w:b/>
          <w:sz w:val="15"/>
          <w:szCs w:val="15"/>
        </w:rPr>
        <w:t>Verhaalinstanties</w:t>
      </w:r>
    </w:p>
    <w:p w14:paraId="2AC4B27F" w14:textId="77777777" w:rsidR="00DA6050" w:rsidRPr="00FB66BB" w:rsidRDefault="00DA6050" w:rsidP="00DA6050">
      <w:pPr>
        <w:jc w:val="both"/>
        <w:rPr>
          <w:rFonts w:ascii="Century Gothic" w:hAnsi="Century Gothic"/>
          <w:sz w:val="15"/>
          <w:szCs w:val="15"/>
        </w:rPr>
      </w:pPr>
      <w:r w:rsidRPr="00FB66BB">
        <w:rPr>
          <w:rFonts w:ascii="Century Gothic" w:hAnsi="Century Gothic"/>
          <w:sz w:val="15"/>
          <w:szCs w:val="15"/>
        </w:rPr>
        <w:t xml:space="preserve">  Art. 24. Voor de verhaalprocedures bedoeld in de artikelen 14, 15 en 16 is de </w:t>
      </w:r>
      <w:proofErr w:type="gramStart"/>
      <w:r w:rsidRPr="00FB66BB">
        <w:rPr>
          <w:rFonts w:ascii="Century Gothic" w:hAnsi="Century Gothic"/>
          <w:sz w:val="15"/>
          <w:szCs w:val="15"/>
        </w:rPr>
        <w:t>verhaalinstantie :</w:t>
      </w:r>
      <w:proofErr w:type="gramEnd"/>
    </w:p>
    <w:p w14:paraId="57007DD0" w14:textId="77777777" w:rsidR="00DA6050" w:rsidRPr="00FB66BB" w:rsidRDefault="00DA6050" w:rsidP="00DA6050">
      <w:pPr>
        <w:jc w:val="both"/>
        <w:rPr>
          <w:rFonts w:ascii="Century Gothic" w:hAnsi="Century Gothic"/>
          <w:sz w:val="15"/>
          <w:szCs w:val="15"/>
        </w:rPr>
      </w:pPr>
      <w:r w:rsidRPr="00FB66BB">
        <w:rPr>
          <w:rFonts w:ascii="Century Gothic" w:hAnsi="Century Gothic"/>
          <w:sz w:val="15"/>
          <w:szCs w:val="15"/>
        </w:rPr>
        <w:t xml:space="preserve">  1° de afdeling bestuursrechtspraak van de Raad van State, wanneer de aanbestedende instantie een overheid is als bedoeld in artikel 14, § 1, van de gecoördineerde wetten op de Raad van State;</w:t>
      </w:r>
    </w:p>
    <w:p w14:paraId="48E77FEF" w14:textId="77777777" w:rsidR="00DA6050" w:rsidRPr="00FB66BB" w:rsidRDefault="00DA6050" w:rsidP="00DA6050">
      <w:pPr>
        <w:jc w:val="both"/>
        <w:rPr>
          <w:rFonts w:ascii="Century Gothic" w:hAnsi="Century Gothic"/>
          <w:sz w:val="15"/>
          <w:szCs w:val="15"/>
        </w:rPr>
      </w:pPr>
      <w:r w:rsidRPr="00FB66BB">
        <w:rPr>
          <w:rFonts w:ascii="Century Gothic" w:hAnsi="Century Gothic"/>
          <w:sz w:val="15"/>
          <w:szCs w:val="15"/>
        </w:rPr>
        <w:t xml:space="preserve">   2° de gewone rechter wanneer de aanbestedende instantie geen overheid is als bedoeld in artikel 14, § 1, van de gecoördineerde wetten op de Raad van State.</w:t>
      </w:r>
    </w:p>
    <w:p w14:paraId="7423D8D3" w14:textId="77777777" w:rsidR="00DA6050" w:rsidRPr="00FB66BB" w:rsidRDefault="00AA30B8" w:rsidP="00DA6050">
      <w:pPr>
        <w:jc w:val="both"/>
        <w:rPr>
          <w:rFonts w:ascii="Century Gothic" w:hAnsi="Century Gothic"/>
          <w:sz w:val="15"/>
          <w:szCs w:val="15"/>
        </w:rPr>
      </w:pPr>
      <w:r w:rsidRPr="00FB66BB">
        <w:rPr>
          <w:rFonts w:ascii="Century Gothic" w:hAnsi="Century Gothic"/>
          <w:sz w:val="15"/>
          <w:szCs w:val="15"/>
        </w:rPr>
        <w:t xml:space="preserve">  Voor de verhaalprocedure bedoeld in artikel 16 is de verhaalinstantie ook de gewone rechter wanneer de aanbestedende instantie een overheid is als bedoeld in artikel 14, § 1, van de gecoördineerde wetten op de Raad van State en geen schadevergoeding tot herstel als bedoeld in artikel 11bis van dezelfde gecoördineerde wetten werd gevorderd.</w:t>
      </w:r>
    </w:p>
    <w:p w14:paraId="1E42112A" w14:textId="77777777" w:rsidR="00DA6050" w:rsidRPr="00FB66BB" w:rsidRDefault="00DA6050" w:rsidP="00DA6050">
      <w:pPr>
        <w:jc w:val="both"/>
        <w:rPr>
          <w:rFonts w:ascii="Century Gothic" w:hAnsi="Century Gothic"/>
          <w:sz w:val="15"/>
          <w:szCs w:val="15"/>
        </w:rPr>
      </w:pPr>
      <w:r w:rsidRPr="00FB66BB">
        <w:rPr>
          <w:rFonts w:ascii="Century Gothic" w:hAnsi="Century Gothic"/>
          <w:sz w:val="15"/>
          <w:szCs w:val="15"/>
        </w:rPr>
        <w:t xml:space="preserve">  Voor de verhaalprocedures bedoeld in de artikelen 17 en 22 is de verhaalinstantie de gewone rechter.   Voor de </w:t>
      </w:r>
      <w:proofErr w:type="spellStart"/>
      <w:r w:rsidRPr="00FB66BB">
        <w:rPr>
          <w:rFonts w:ascii="Century Gothic" w:hAnsi="Century Gothic"/>
          <w:sz w:val="15"/>
          <w:szCs w:val="15"/>
        </w:rPr>
        <w:t>onverbindendverklaring</w:t>
      </w:r>
      <w:proofErr w:type="spellEnd"/>
      <w:r w:rsidRPr="00FB66BB">
        <w:rPr>
          <w:rFonts w:ascii="Century Gothic" w:hAnsi="Century Gothic"/>
          <w:sz w:val="15"/>
          <w:szCs w:val="15"/>
        </w:rPr>
        <w:t xml:space="preserve"> en de alternatieve sancties zetelt de rechter zoals in kort geding.</w:t>
      </w:r>
    </w:p>
    <w:p w14:paraId="67992B22" w14:textId="77777777" w:rsidR="00AA30B8" w:rsidRDefault="00AA30B8" w:rsidP="00DA6050">
      <w:pPr>
        <w:jc w:val="both"/>
        <w:rPr>
          <w:rFonts w:ascii="Century Gothic" w:hAnsi="Century Gothic"/>
          <w:sz w:val="15"/>
          <w:szCs w:val="15"/>
        </w:rPr>
      </w:pPr>
    </w:p>
    <w:p w14:paraId="7A189E00" w14:textId="77777777" w:rsidR="00FB66BB" w:rsidRPr="00FB66BB" w:rsidRDefault="00FB66BB" w:rsidP="00DA6050">
      <w:pPr>
        <w:jc w:val="both"/>
        <w:rPr>
          <w:rFonts w:ascii="Century Gothic" w:hAnsi="Century Gothic"/>
          <w:sz w:val="15"/>
          <w:szCs w:val="15"/>
        </w:rPr>
      </w:pPr>
    </w:p>
    <w:p w14:paraId="1D72605C" w14:textId="77777777" w:rsidR="00AA30B8" w:rsidRPr="00FB66BB" w:rsidRDefault="00AA30B8" w:rsidP="00DA6050">
      <w:pPr>
        <w:jc w:val="both"/>
        <w:rPr>
          <w:rFonts w:ascii="Century Gothic" w:hAnsi="Century Gothic"/>
          <w:i/>
          <w:sz w:val="15"/>
          <w:szCs w:val="15"/>
        </w:rPr>
      </w:pPr>
      <w:proofErr w:type="gramStart"/>
      <w:r w:rsidRPr="00FB66BB">
        <w:rPr>
          <w:rFonts w:ascii="Century Gothic" w:hAnsi="Century Gothic"/>
          <w:i/>
          <w:sz w:val="15"/>
          <w:szCs w:val="15"/>
        </w:rPr>
        <w:t>N.B. :</w:t>
      </w:r>
      <w:proofErr w:type="gramEnd"/>
      <w:r w:rsidRPr="00FB66BB">
        <w:rPr>
          <w:rFonts w:ascii="Century Gothic" w:hAnsi="Century Gothic"/>
          <w:i/>
          <w:sz w:val="15"/>
          <w:szCs w:val="15"/>
        </w:rPr>
        <w:t xml:space="preserve"> volgens de recente rechtspraak van de Raad van State wordt een openbare vastgoedmaatschappij (OVM) niet beschouwd als een overheid als bedoeld in artikel 14, § 1, van de gecoördineerde wetten op de Raad van State (RvS, arrest nr. 233.977 van 1 maart 2016).</w:t>
      </w:r>
    </w:p>
    <w:p w14:paraId="47E774BA" w14:textId="77777777" w:rsidR="00AA30B8" w:rsidRPr="00FB66BB" w:rsidRDefault="00AA30B8" w:rsidP="00DA6050">
      <w:pPr>
        <w:jc w:val="both"/>
        <w:rPr>
          <w:rFonts w:ascii="Century Gothic" w:hAnsi="Century Gothic"/>
          <w:b/>
          <w:sz w:val="15"/>
          <w:szCs w:val="15"/>
        </w:rPr>
        <w:sectPr w:rsidR="00AA30B8" w:rsidRPr="00FB66BB" w:rsidSect="00AA30B8">
          <w:type w:val="continuous"/>
          <w:pgSz w:w="11906" w:h="16838"/>
          <w:pgMar w:top="1417" w:right="1417" w:bottom="1417" w:left="1417" w:header="708" w:footer="708" w:gutter="0"/>
          <w:cols w:num="2" w:space="708"/>
          <w:docGrid w:linePitch="360"/>
        </w:sectPr>
      </w:pPr>
    </w:p>
    <w:p w14:paraId="1575CC1B" w14:textId="77777777" w:rsidR="00712D68" w:rsidRPr="00FB66BB" w:rsidRDefault="00712D68" w:rsidP="00DA6050">
      <w:pPr>
        <w:jc w:val="both"/>
        <w:rPr>
          <w:rFonts w:ascii="Century Gothic" w:hAnsi="Century Gothic"/>
          <w:sz w:val="15"/>
          <w:szCs w:val="15"/>
        </w:rPr>
      </w:pPr>
    </w:p>
    <w:sectPr w:rsidR="00712D68" w:rsidRPr="00FB66BB" w:rsidSect="00AA30B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337D0" w14:textId="77777777" w:rsidR="0011622A" w:rsidRDefault="0011622A" w:rsidP="001D56E8">
      <w:r>
        <w:separator/>
      </w:r>
    </w:p>
  </w:endnote>
  <w:endnote w:type="continuationSeparator" w:id="0">
    <w:p w14:paraId="5020FA42" w14:textId="77777777" w:rsidR="0011622A" w:rsidRDefault="0011622A" w:rsidP="001D5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E4C74" w14:textId="77777777" w:rsidR="001D56E8" w:rsidRPr="0020045D" w:rsidRDefault="0020045D" w:rsidP="0020045D">
    <w:pPr>
      <w:pStyle w:val="Pieddepage"/>
    </w:pPr>
    <w:r>
      <w:rPr>
        <w:sz w:val="16"/>
        <w:szCs w:val="16"/>
      </w:rPr>
      <w:fldChar w:fldCharType="begin"/>
    </w:r>
    <w:r>
      <w:rPr>
        <w:sz w:val="16"/>
        <w:szCs w:val="16"/>
      </w:rPr>
      <w:instrText xml:space="preserve"> FILENAME \* MERGEFORMAT </w:instrText>
    </w:r>
    <w:r>
      <w:rPr>
        <w:sz w:val="16"/>
        <w:szCs w:val="16"/>
      </w:rPr>
      <w:fldChar w:fldCharType="separate"/>
    </w:r>
    <w:r w:rsidR="00FB66BB">
      <w:rPr>
        <w:noProof/>
        <w:sz w:val="16"/>
        <w:szCs w:val="16"/>
      </w:rPr>
      <w:t>DMT_INFO_IRREGULIER_2019_NL</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3D4B0" w14:textId="77777777" w:rsidR="0011622A" w:rsidRDefault="0011622A" w:rsidP="001D56E8">
      <w:r>
        <w:separator/>
      </w:r>
    </w:p>
  </w:footnote>
  <w:footnote w:type="continuationSeparator" w:id="0">
    <w:p w14:paraId="70A35C92" w14:textId="77777777" w:rsidR="0011622A" w:rsidRDefault="0011622A" w:rsidP="001D5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512B"/>
    <w:multiLevelType w:val="hybridMultilevel"/>
    <w:tmpl w:val="51A0F98E"/>
    <w:lvl w:ilvl="0" w:tplc="E408987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926265A"/>
    <w:multiLevelType w:val="hybridMultilevel"/>
    <w:tmpl w:val="C24ED2AC"/>
    <w:lvl w:ilvl="0" w:tplc="2EC4604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ADF05D9"/>
    <w:multiLevelType w:val="multilevel"/>
    <w:tmpl w:val="C7385D58"/>
    <w:lvl w:ilvl="0">
      <w:start w:val="1"/>
      <w:numFmt w:val="decimal"/>
      <w:lvlText w:val="%1"/>
      <w:lvlJc w:val="left"/>
      <w:pPr>
        <w:ind w:left="431" w:hanging="431"/>
      </w:pPr>
      <w:rPr>
        <w:rFonts w:hint="default"/>
      </w:rPr>
    </w:lvl>
    <w:lvl w:ilvl="1">
      <w:start w:val="1"/>
      <w:numFmt w:val="decimal"/>
      <w:lvlText w:val="%1.%2"/>
      <w:lvlJc w:val="left"/>
      <w:pPr>
        <w:ind w:left="431" w:hanging="431"/>
      </w:pPr>
      <w:rPr>
        <w:rFonts w:hint="default"/>
      </w:rPr>
    </w:lvl>
    <w:lvl w:ilvl="2">
      <w:start w:val="1"/>
      <w:numFmt w:val="decimal"/>
      <w:lvlText w:val="%1.%2.%3"/>
      <w:lvlJc w:val="left"/>
      <w:pPr>
        <w:ind w:left="431" w:hanging="431"/>
      </w:pPr>
      <w:rPr>
        <w:rFonts w:hint="default"/>
      </w:rPr>
    </w:lvl>
    <w:lvl w:ilvl="3">
      <w:start w:val="1"/>
      <w:numFmt w:val="bullet"/>
      <w:lvlText w:val=""/>
      <w:lvlJc w:val="left"/>
      <w:pPr>
        <w:ind w:left="431" w:hanging="431"/>
      </w:pPr>
      <w:rPr>
        <w:rFonts w:ascii="Wingdings" w:hAnsi="Wingdings" w:hint="default"/>
      </w:rPr>
    </w:lvl>
    <w:lvl w:ilvl="4">
      <w:start w:val="1"/>
      <w:numFmt w:val="decimal"/>
      <w:lvlText w:val="ANNEXE %5. "/>
      <w:lvlJc w:val="left"/>
      <w:pPr>
        <w:ind w:left="431" w:hanging="431"/>
      </w:pPr>
      <w:rPr>
        <w:rFonts w:hint="default"/>
      </w:rPr>
    </w:lvl>
    <w:lvl w:ilvl="5">
      <w:start w:val="1"/>
      <w:numFmt w:val="decimal"/>
      <w:lvlText w:val="ANNEXE  %5.%6."/>
      <w:lvlJc w:val="left"/>
      <w:pPr>
        <w:ind w:left="431" w:hanging="431"/>
      </w:pPr>
      <w:rPr>
        <w:rFonts w:hint="default"/>
      </w:rPr>
    </w:lvl>
    <w:lvl w:ilvl="6">
      <w:start w:val="1"/>
      <w:numFmt w:val="decimal"/>
      <w:lvlText w:val="MODELE %7."/>
      <w:lvlJc w:val="left"/>
      <w:pPr>
        <w:ind w:left="1708" w:hanging="431"/>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MODELE %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3" w15:restartNumberingAfterBreak="0">
    <w:nsid w:val="5D891BD2"/>
    <w:multiLevelType w:val="hybridMultilevel"/>
    <w:tmpl w:val="DDDCC4F4"/>
    <w:lvl w:ilvl="0" w:tplc="E408987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71035748"/>
    <w:multiLevelType w:val="hybridMultilevel"/>
    <w:tmpl w:val="255EFD98"/>
    <w:lvl w:ilvl="0" w:tplc="E408987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511921376">
    <w:abstractNumId w:val="1"/>
  </w:num>
  <w:num w:numId="2" w16cid:durableId="867990038">
    <w:abstractNumId w:val="2"/>
  </w:num>
  <w:num w:numId="3" w16cid:durableId="1299914522">
    <w:abstractNumId w:val="4"/>
  </w:num>
  <w:num w:numId="4" w16cid:durableId="274212187">
    <w:abstractNumId w:val="0"/>
  </w:num>
  <w:num w:numId="5" w16cid:durableId="6734610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FD3"/>
    <w:rsid w:val="0011622A"/>
    <w:rsid w:val="0013333F"/>
    <w:rsid w:val="001973AF"/>
    <w:rsid w:val="001D56E8"/>
    <w:rsid w:val="001E7951"/>
    <w:rsid w:val="0020045D"/>
    <w:rsid w:val="002D1A54"/>
    <w:rsid w:val="002D3E24"/>
    <w:rsid w:val="002F4E9A"/>
    <w:rsid w:val="00374E72"/>
    <w:rsid w:val="003C02A6"/>
    <w:rsid w:val="003E61A1"/>
    <w:rsid w:val="00490A58"/>
    <w:rsid w:val="00525519"/>
    <w:rsid w:val="00570D29"/>
    <w:rsid w:val="005E39C0"/>
    <w:rsid w:val="006A58EE"/>
    <w:rsid w:val="006F60F9"/>
    <w:rsid w:val="00707FD1"/>
    <w:rsid w:val="00712D68"/>
    <w:rsid w:val="007D13A5"/>
    <w:rsid w:val="00873E93"/>
    <w:rsid w:val="00922053"/>
    <w:rsid w:val="00961602"/>
    <w:rsid w:val="00962C07"/>
    <w:rsid w:val="00991FDD"/>
    <w:rsid w:val="009D0614"/>
    <w:rsid w:val="00A43D76"/>
    <w:rsid w:val="00A66148"/>
    <w:rsid w:val="00AA30B8"/>
    <w:rsid w:val="00B63D15"/>
    <w:rsid w:val="00B747ED"/>
    <w:rsid w:val="00BB6E03"/>
    <w:rsid w:val="00D07C45"/>
    <w:rsid w:val="00D147A2"/>
    <w:rsid w:val="00D33FD3"/>
    <w:rsid w:val="00D55016"/>
    <w:rsid w:val="00DA6050"/>
    <w:rsid w:val="00DB19B6"/>
    <w:rsid w:val="00E40B3A"/>
    <w:rsid w:val="00F81770"/>
    <w:rsid w:val="00F82BD3"/>
    <w:rsid w:val="00F9779F"/>
    <w:rsid w:val="00FB66BB"/>
    <w:rsid w:val="00FC594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651CE3"/>
  <w15:docId w15:val="{40C71517-51D1-4790-8625-EA4B51832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FD3"/>
    <w:rPr>
      <w:rFonts w:asciiTheme="minorHAnsi" w:eastAsiaTheme="minorHAnsi" w:hAnsiTheme="minorHAnsi" w:cstheme="minorBidi"/>
      <w:sz w:val="22"/>
      <w:szCs w:val="22"/>
    </w:rPr>
  </w:style>
  <w:style w:type="paragraph" w:styleId="Titre1">
    <w:name w:val="heading 1"/>
    <w:basedOn w:val="Normal"/>
    <w:next w:val="Normal"/>
    <w:link w:val="Titre1Car"/>
    <w:uiPriority w:val="9"/>
    <w:qFormat/>
    <w:rsid w:val="001973AF"/>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unhideWhenUsed/>
    <w:qFormat/>
    <w:rsid w:val="001973AF"/>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unhideWhenUsed/>
    <w:qFormat/>
    <w:rsid w:val="001973AF"/>
    <w:pPr>
      <w:keepNext/>
      <w:spacing w:before="240" w:after="60"/>
      <w:outlineLvl w:val="2"/>
    </w:pPr>
    <w:rPr>
      <w:rFonts w:asciiTheme="majorHAnsi" w:eastAsiaTheme="majorEastAsia" w:hAnsiTheme="majorHAnsi" w:cstheme="majorBidi"/>
      <w:b/>
      <w:bCs/>
      <w:sz w:val="26"/>
      <w:szCs w:val="26"/>
    </w:rPr>
  </w:style>
  <w:style w:type="paragraph" w:styleId="Titre4">
    <w:name w:val="heading 4"/>
    <w:basedOn w:val="Paragraphedeliste"/>
    <w:next w:val="Normal"/>
    <w:link w:val="Titre4Car"/>
    <w:uiPriority w:val="9"/>
    <w:unhideWhenUsed/>
    <w:qFormat/>
    <w:rsid w:val="00D33FD3"/>
    <w:pPr>
      <w:ind w:left="431" w:hanging="431"/>
      <w:contextualSpacing/>
      <w:jc w:val="both"/>
      <w:outlineLvl w:val="3"/>
    </w:pPr>
    <w:rPr>
      <w:u w:val="single"/>
    </w:rPr>
  </w:style>
  <w:style w:type="paragraph" w:styleId="Titre5">
    <w:name w:val="heading 5"/>
    <w:basedOn w:val="Normal"/>
    <w:next w:val="Normal"/>
    <w:link w:val="Titre5Car"/>
    <w:uiPriority w:val="9"/>
    <w:unhideWhenUsed/>
    <w:qFormat/>
    <w:rsid w:val="00D33FD3"/>
    <w:pPr>
      <w:keepNext/>
      <w:keepLines/>
      <w:spacing w:before="200"/>
      <w:ind w:left="431" w:hanging="431"/>
      <w:outlineLvl w:val="4"/>
    </w:pPr>
    <w:rPr>
      <w:rFonts w:eastAsiaTheme="majorEastAsia" w:cstheme="majorBidi"/>
      <w:b/>
      <w:sz w:val="32"/>
    </w:rPr>
  </w:style>
  <w:style w:type="paragraph" w:styleId="Titre7">
    <w:name w:val="heading 7"/>
    <w:basedOn w:val="Normal"/>
    <w:next w:val="Normal"/>
    <w:link w:val="Titre7Car"/>
    <w:uiPriority w:val="9"/>
    <w:unhideWhenUsed/>
    <w:qFormat/>
    <w:rsid w:val="00D33FD3"/>
    <w:pPr>
      <w:keepNext/>
      <w:keepLines/>
      <w:spacing w:before="200"/>
      <w:ind w:left="1708" w:hanging="431"/>
      <w:outlineLvl w:val="6"/>
    </w:pPr>
    <w:rPr>
      <w:rFonts w:eastAsiaTheme="majorEastAsia" w:cstheme="majorBidi"/>
      <w:b/>
      <w:iCs/>
      <w:color w:val="404040" w:themeColor="text1" w:themeTint="BF"/>
      <w:sz w:val="32"/>
    </w:rPr>
  </w:style>
  <w:style w:type="paragraph" w:styleId="Titre9">
    <w:name w:val="heading 9"/>
    <w:basedOn w:val="Normal"/>
    <w:next w:val="Normal"/>
    <w:link w:val="Titre9Car"/>
    <w:uiPriority w:val="9"/>
    <w:semiHidden/>
    <w:unhideWhenUsed/>
    <w:qFormat/>
    <w:rsid w:val="00D33FD3"/>
    <w:pPr>
      <w:keepNext/>
      <w:keepLines/>
      <w:spacing w:before="200"/>
      <w:ind w:left="431" w:hanging="431"/>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73AF"/>
    <w:pPr>
      <w:ind w:left="708"/>
    </w:pPr>
  </w:style>
  <w:style w:type="character" w:customStyle="1" w:styleId="Titre1Car">
    <w:name w:val="Titre 1 Car"/>
    <w:link w:val="Titre1"/>
    <w:uiPriority w:val="9"/>
    <w:rsid w:val="001973AF"/>
    <w:rPr>
      <w:rFonts w:ascii="Cambria" w:eastAsia="Times New Roman" w:hAnsi="Cambria"/>
      <w:b/>
      <w:bCs/>
      <w:kern w:val="32"/>
      <w:sz w:val="32"/>
      <w:szCs w:val="32"/>
    </w:rPr>
  </w:style>
  <w:style w:type="character" w:customStyle="1" w:styleId="Titre2Car">
    <w:name w:val="Titre 2 Car"/>
    <w:basedOn w:val="Policepardfaut"/>
    <w:link w:val="Titre2"/>
    <w:uiPriority w:val="9"/>
    <w:rsid w:val="001973AF"/>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rsid w:val="001973AF"/>
    <w:rPr>
      <w:rFonts w:asciiTheme="majorHAnsi" w:eastAsiaTheme="majorEastAsia" w:hAnsiTheme="majorHAnsi" w:cstheme="majorBidi"/>
      <w:b/>
      <w:bCs/>
      <w:sz w:val="26"/>
      <w:szCs w:val="26"/>
    </w:rPr>
  </w:style>
  <w:style w:type="paragraph" w:styleId="TM1">
    <w:name w:val="toc 1"/>
    <w:basedOn w:val="Normal"/>
    <w:next w:val="Normal"/>
    <w:autoRedefine/>
    <w:uiPriority w:val="39"/>
    <w:semiHidden/>
    <w:unhideWhenUsed/>
    <w:qFormat/>
    <w:rsid w:val="001973AF"/>
    <w:pPr>
      <w:spacing w:after="100"/>
    </w:pPr>
    <w:rPr>
      <w:rFonts w:eastAsia="Times New Roman"/>
      <w:lang w:eastAsia="fr-BE"/>
    </w:rPr>
  </w:style>
  <w:style w:type="paragraph" w:styleId="TM2">
    <w:name w:val="toc 2"/>
    <w:basedOn w:val="Normal"/>
    <w:next w:val="Normal"/>
    <w:autoRedefine/>
    <w:uiPriority w:val="39"/>
    <w:unhideWhenUsed/>
    <w:qFormat/>
    <w:rsid w:val="001973AF"/>
    <w:pPr>
      <w:spacing w:after="100"/>
      <w:ind w:left="220"/>
    </w:pPr>
    <w:rPr>
      <w:rFonts w:eastAsia="Times New Roman"/>
      <w:lang w:eastAsia="fr-BE"/>
    </w:rPr>
  </w:style>
  <w:style w:type="paragraph" w:styleId="TM3">
    <w:name w:val="toc 3"/>
    <w:basedOn w:val="Normal"/>
    <w:next w:val="Normal"/>
    <w:autoRedefine/>
    <w:uiPriority w:val="39"/>
    <w:semiHidden/>
    <w:unhideWhenUsed/>
    <w:qFormat/>
    <w:rsid w:val="001973AF"/>
    <w:pPr>
      <w:spacing w:after="100"/>
      <w:ind w:left="440"/>
    </w:pPr>
    <w:rPr>
      <w:rFonts w:eastAsia="Times New Roman"/>
      <w:lang w:eastAsia="fr-BE"/>
    </w:rPr>
  </w:style>
  <w:style w:type="paragraph" w:styleId="En-ttedetabledesmatires">
    <w:name w:val="TOC Heading"/>
    <w:basedOn w:val="Titre1"/>
    <w:next w:val="Normal"/>
    <w:uiPriority w:val="39"/>
    <w:semiHidden/>
    <w:unhideWhenUsed/>
    <w:qFormat/>
    <w:rsid w:val="001973AF"/>
    <w:pPr>
      <w:keepLines/>
      <w:spacing w:before="480" w:after="0"/>
      <w:outlineLvl w:val="9"/>
    </w:pPr>
    <w:rPr>
      <w:color w:val="365F91"/>
      <w:kern w:val="0"/>
      <w:sz w:val="28"/>
      <w:szCs w:val="28"/>
      <w:lang w:eastAsia="fr-BE"/>
    </w:rPr>
  </w:style>
  <w:style w:type="character" w:customStyle="1" w:styleId="Titre4Car">
    <w:name w:val="Titre 4 Car"/>
    <w:basedOn w:val="Policepardfaut"/>
    <w:link w:val="Titre4"/>
    <w:uiPriority w:val="9"/>
    <w:rsid w:val="00D33FD3"/>
    <w:rPr>
      <w:rFonts w:asciiTheme="minorHAnsi" w:eastAsiaTheme="minorHAnsi" w:hAnsiTheme="minorHAnsi" w:cstheme="minorBidi"/>
      <w:sz w:val="22"/>
      <w:szCs w:val="22"/>
      <w:u w:val="single"/>
    </w:rPr>
  </w:style>
  <w:style w:type="character" w:customStyle="1" w:styleId="Titre5Car">
    <w:name w:val="Titre 5 Car"/>
    <w:basedOn w:val="Policepardfaut"/>
    <w:link w:val="Titre5"/>
    <w:uiPriority w:val="9"/>
    <w:rsid w:val="00D33FD3"/>
    <w:rPr>
      <w:rFonts w:asciiTheme="minorHAnsi" w:eastAsiaTheme="majorEastAsia" w:hAnsiTheme="minorHAnsi" w:cstheme="majorBidi"/>
      <w:b/>
      <w:sz w:val="32"/>
      <w:szCs w:val="22"/>
    </w:rPr>
  </w:style>
  <w:style w:type="character" w:customStyle="1" w:styleId="Titre7Car">
    <w:name w:val="Titre 7 Car"/>
    <w:basedOn w:val="Policepardfaut"/>
    <w:link w:val="Titre7"/>
    <w:uiPriority w:val="9"/>
    <w:rsid w:val="00D33FD3"/>
    <w:rPr>
      <w:rFonts w:asciiTheme="minorHAnsi" w:eastAsiaTheme="majorEastAsia" w:hAnsiTheme="minorHAnsi" w:cstheme="majorBidi"/>
      <w:b/>
      <w:iCs/>
      <w:color w:val="404040" w:themeColor="text1" w:themeTint="BF"/>
      <w:sz w:val="32"/>
      <w:szCs w:val="22"/>
    </w:rPr>
  </w:style>
  <w:style w:type="character" w:customStyle="1" w:styleId="Titre9Car">
    <w:name w:val="Titre 9 Car"/>
    <w:basedOn w:val="Policepardfaut"/>
    <w:link w:val="Titre9"/>
    <w:uiPriority w:val="9"/>
    <w:semiHidden/>
    <w:rsid w:val="00D33FD3"/>
    <w:rPr>
      <w:rFonts w:asciiTheme="majorHAnsi" w:eastAsiaTheme="majorEastAsia" w:hAnsiTheme="majorHAnsi" w:cstheme="majorBidi"/>
      <w:i/>
      <w:iCs/>
      <w:color w:val="404040" w:themeColor="text1" w:themeTint="BF"/>
    </w:rPr>
  </w:style>
  <w:style w:type="paragraph" w:styleId="En-tte">
    <w:name w:val="header"/>
    <w:basedOn w:val="Normal"/>
    <w:link w:val="En-tteCar"/>
    <w:uiPriority w:val="99"/>
    <w:unhideWhenUsed/>
    <w:rsid w:val="001D56E8"/>
    <w:pPr>
      <w:tabs>
        <w:tab w:val="center" w:pos="4536"/>
        <w:tab w:val="right" w:pos="9072"/>
      </w:tabs>
    </w:pPr>
  </w:style>
  <w:style w:type="character" w:customStyle="1" w:styleId="En-tteCar">
    <w:name w:val="En-tête Car"/>
    <w:basedOn w:val="Policepardfaut"/>
    <w:link w:val="En-tte"/>
    <w:uiPriority w:val="99"/>
    <w:rsid w:val="001D56E8"/>
    <w:rPr>
      <w:rFonts w:asciiTheme="minorHAnsi" w:eastAsiaTheme="minorHAnsi" w:hAnsiTheme="minorHAnsi" w:cstheme="minorBidi"/>
      <w:sz w:val="22"/>
      <w:szCs w:val="22"/>
    </w:rPr>
  </w:style>
  <w:style w:type="paragraph" w:styleId="Pieddepage">
    <w:name w:val="footer"/>
    <w:basedOn w:val="Normal"/>
    <w:link w:val="PieddepageCar"/>
    <w:uiPriority w:val="99"/>
    <w:unhideWhenUsed/>
    <w:rsid w:val="001D56E8"/>
    <w:pPr>
      <w:tabs>
        <w:tab w:val="center" w:pos="4536"/>
        <w:tab w:val="right" w:pos="9072"/>
      </w:tabs>
    </w:pPr>
  </w:style>
  <w:style w:type="character" w:customStyle="1" w:styleId="PieddepageCar">
    <w:name w:val="Pied de page Car"/>
    <w:basedOn w:val="Policepardfaut"/>
    <w:link w:val="Pieddepage"/>
    <w:uiPriority w:val="99"/>
    <w:rsid w:val="001D56E8"/>
    <w:rPr>
      <w:rFonts w:asciiTheme="minorHAnsi" w:eastAsiaTheme="minorHAnsi" w:hAnsiTheme="minorHAnsi" w:cstheme="minorBidi"/>
      <w:sz w:val="22"/>
      <w:szCs w:val="22"/>
    </w:rPr>
  </w:style>
  <w:style w:type="paragraph" w:styleId="Textedebulles">
    <w:name w:val="Balloon Text"/>
    <w:basedOn w:val="Normal"/>
    <w:link w:val="TextedebullesCar"/>
    <w:uiPriority w:val="99"/>
    <w:semiHidden/>
    <w:unhideWhenUsed/>
    <w:rsid w:val="001D56E8"/>
    <w:rPr>
      <w:rFonts w:ascii="Tahoma" w:hAnsi="Tahoma" w:cs="Tahoma"/>
      <w:sz w:val="16"/>
      <w:szCs w:val="16"/>
    </w:rPr>
  </w:style>
  <w:style w:type="character" w:customStyle="1" w:styleId="TextedebullesCar">
    <w:name w:val="Texte de bulles Car"/>
    <w:basedOn w:val="Policepardfaut"/>
    <w:link w:val="Textedebulles"/>
    <w:uiPriority w:val="99"/>
    <w:semiHidden/>
    <w:rsid w:val="001D56E8"/>
    <w:rPr>
      <w:rFonts w:ascii="Tahoma" w:eastAsiaTheme="minorHAnsi" w:hAnsi="Tahoma" w:cs="Tahoma"/>
      <w:sz w:val="16"/>
      <w:szCs w:val="16"/>
    </w:rPr>
  </w:style>
  <w:style w:type="paragraph" w:styleId="Notedebasdepage">
    <w:name w:val="footnote text"/>
    <w:basedOn w:val="Normal"/>
    <w:link w:val="NotedebasdepageCar"/>
    <w:uiPriority w:val="99"/>
    <w:semiHidden/>
    <w:unhideWhenUsed/>
    <w:rsid w:val="00D07C45"/>
    <w:rPr>
      <w:sz w:val="20"/>
      <w:szCs w:val="20"/>
    </w:rPr>
  </w:style>
  <w:style w:type="character" w:customStyle="1" w:styleId="NotedebasdepageCar">
    <w:name w:val="Note de bas de page Car"/>
    <w:basedOn w:val="Policepardfaut"/>
    <w:link w:val="Notedebasdepage"/>
    <w:uiPriority w:val="99"/>
    <w:semiHidden/>
    <w:rsid w:val="00D07C45"/>
    <w:rPr>
      <w:rFonts w:asciiTheme="minorHAnsi" w:eastAsiaTheme="minorHAnsi" w:hAnsiTheme="minorHAnsi" w:cstheme="minorBidi"/>
    </w:rPr>
  </w:style>
  <w:style w:type="character" w:styleId="Appelnotedebasdep">
    <w:name w:val="footnote reference"/>
    <w:basedOn w:val="Policepardfaut"/>
    <w:uiPriority w:val="99"/>
    <w:semiHidden/>
    <w:unhideWhenUsed/>
    <w:rsid w:val="00D07C45"/>
    <w:rPr>
      <w:vertAlign w:val="superscript"/>
    </w:rPr>
  </w:style>
  <w:style w:type="character" w:styleId="Lienhypertexte">
    <w:name w:val="Hyperlink"/>
    <w:basedOn w:val="Policepardfaut"/>
    <w:uiPriority w:val="99"/>
    <w:unhideWhenUsed/>
    <w:rsid w:val="002D1A54"/>
    <w:rPr>
      <w:color w:val="0563C1" w:themeColor="hyperlink"/>
      <w:u w:val="single"/>
    </w:rPr>
  </w:style>
  <w:style w:type="character" w:styleId="Mentionnonrsolue">
    <w:name w:val="Unresolved Mention"/>
    <w:basedOn w:val="Policepardfaut"/>
    <w:uiPriority w:val="99"/>
    <w:semiHidden/>
    <w:unhideWhenUsed/>
    <w:rsid w:val="002D1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717102">
      <w:bodyDiv w:val="1"/>
      <w:marLeft w:val="0"/>
      <w:marRight w:val="0"/>
      <w:marTop w:val="0"/>
      <w:marBottom w:val="0"/>
      <w:divBdr>
        <w:top w:val="none" w:sz="0" w:space="0" w:color="auto"/>
        <w:left w:val="none" w:sz="0" w:space="0" w:color="auto"/>
        <w:bottom w:val="none" w:sz="0" w:space="0" w:color="auto"/>
        <w:right w:val="none" w:sz="0" w:space="0" w:color="auto"/>
      </w:divBdr>
    </w:div>
    <w:div w:id="1012415315">
      <w:bodyDiv w:val="1"/>
      <w:marLeft w:val="0"/>
      <w:marRight w:val="0"/>
      <w:marTop w:val="0"/>
      <w:marBottom w:val="0"/>
      <w:divBdr>
        <w:top w:val="none" w:sz="0" w:space="0" w:color="auto"/>
        <w:left w:val="none" w:sz="0" w:space="0" w:color="auto"/>
        <w:bottom w:val="none" w:sz="0" w:space="0" w:color="auto"/>
        <w:right w:val="none" w:sz="0" w:space="0" w:color="auto"/>
      </w:divBdr>
    </w:div>
    <w:div w:id="1106921864">
      <w:bodyDiv w:val="1"/>
      <w:marLeft w:val="0"/>
      <w:marRight w:val="0"/>
      <w:marTop w:val="0"/>
      <w:marBottom w:val="0"/>
      <w:divBdr>
        <w:top w:val="none" w:sz="0" w:space="0" w:color="auto"/>
        <w:left w:val="none" w:sz="0" w:space="0" w:color="auto"/>
        <w:bottom w:val="none" w:sz="0" w:space="0" w:color="auto"/>
        <w:right w:val="none" w:sz="0" w:space="0" w:color="auto"/>
      </w:divBdr>
    </w:div>
    <w:div w:id="1206217120">
      <w:bodyDiv w:val="1"/>
      <w:marLeft w:val="0"/>
      <w:marRight w:val="0"/>
      <w:marTop w:val="0"/>
      <w:marBottom w:val="0"/>
      <w:divBdr>
        <w:top w:val="none" w:sz="0" w:space="0" w:color="auto"/>
        <w:left w:val="none" w:sz="0" w:space="0" w:color="auto"/>
        <w:bottom w:val="none" w:sz="0" w:space="0" w:color="auto"/>
        <w:right w:val="none" w:sz="0" w:space="0" w:color="auto"/>
      </w:divBdr>
    </w:div>
    <w:div w:id="140464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lrb-bghm.brussels/nl/technische-documenten/algemee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_SLRB">
  <a:themeElements>
    <a:clrScheme name="Personnalisé 1">
      <a:dk1>
        <a:sysClr val="windowText" lastClr="000000"/>
      </a:dk1>
      <a:lt1>
        <a:sysClr val="window" lastClr="FFFFFF"/>
      </a:lt1>
      <a:dk2>
        <a:srgbClr val="44546A"/>
      </a:dk2>
      <a:lt2>
        <a:srgbClr val="E7E6E6"/>
      </a:lt2>
      <a:accent1>
        <a:srgbClr val="00A4B7"/>
      </a:accent1>
      <a:accent2>
        <a:srgbClr val="008594"/>
      </a:accent2>
      <a:accent3>
        <a:srgbClr val="3E5B7B"/>
      </a:accent3>
      <a:accent4>
        <a:srgbClr val="E5004D"/>
      </a:accent4>
      <a:accent5>
        <a:srgbClr val="6C496F"/>
      </a:accent5>
      <a:accent6>
        <a:srgbClr val="C8C5C5"/>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d36ca8-3775-4e67-8fde-944c9a0b113a">
      <Terms xmlns="http://schemas.microsoft.com/office/infopath/2007/PartnerControls"/>
    </lcf76f155ced4ddcb4097134ff3c332f>
    <TaxCatchAll xmlns="0f4491c0-0eb5-41a8-997a-1b3dad6c562c" xsi:nil="true"/>
    <Th_x00e8_me xmlns="90d36ca8-3775-4e67-8fde-944c9a0b11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1D9BF2E6D4EC34FBC29E62A15BBF8E8" ma:contentTypeVersion="17" ma:contentTypeDescription="Crée un document." ma:contentTypeScope="" ma:versionID="d3c0195a6c111489345b75d858cb0c39">
  <xsd:schema xmlns:xsd="http://www.w3.org/2001/XMLSchema" xmlns:xs="http://www.w3.org/2001/XMLSchema" xmlns:p="http://schemas.microsoft.com/office/2006/metadata/properties" xmlns:ns2="90d36ca8-3775-4e67-8fde-944c9a0b113a" xmlns:ns3="0f4491c0-0eb5-41a8-997a-1b3dad6c562c" targetNamespace="http://schemas.microsoft.com/office/2006/metadata/properties" ma:root="true" ma:fieldsID="edeb4d1e086fb87375f75d61fcabcf5a" ns2:_="" ns3:_="">
    <xsd:import namespace="90d36ca8-3775-4e67-8fde-944c9a0b113a"/>
    <xsd:import namespace="0f4491c0-0eb5-41a8-997a-1b3dad6c56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Location" minOccurs="0"/>
                <xsd:element ref="ns2:Th_x00e8_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36ca8-3775-4e67-8fde-944c9a0b1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5e3cce23-1788-4ece-a9c2-5ee310c6a8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Th_x00e8_me" ma:index="24" nillable="true" ma:displayName="Thème" ma:format="Dropdown" ma:internalName="Th_x00e8_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4491c0-0eb5-41a8-997a-1b3dad6c562c"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ec6d25c4-233f-4957-bac2-18627d3d0db9}" ma:internalName="TaxCatchAll" ma:showField="CatchAllData" ma:web="0f4491c0-0eb5-41a8-997a-1b3dad6c56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8F8DBB-AB7A-428C-8D5E-3DCDD1A8867D}">
  <ds:schemaRefs>
    <ds:schemaRef ds:uri="http://purl.org/dc/dcmitype/"/>
    <ds:schemaRef ds:uri="http://purl.org/dc/terms/"/>
    <ds:schemaRef ds:uri="90d36ca8-3775-4e67-8fde-944c9a0b113a"/>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0f4491c0-0eb5-41a8-997a-1b3dad6c562c"/>
    <ds:schemaRef ds:uri="http://www.w3.org/XML/1998/namespace"/>
  </ds:schemaRefs>
</ds:datastoreItem>
</file>

<file path=customXml/itemProps2.xml><?xml version="1.0" encoding="utf-8"?>
<ds:datastoreItem xmlns:ds="http://schemas.openxmlformats.org/officeDocument/2006/customXml" ds:itemID="{C8C3FCE6-2B95-4BB6-8794-48E46A9455E2}">
  <ds:schemaRefs>
    <ds:schemaRef ds:uri="http://schemas.microsoft.com/sharepoint/v3/contenttype/forms"/>
  </ds:schemaRefs>
</ds:datastoreItem>
</file>

<file path=customXml/itemProps3.xml><?xml version="1.0" encoding="utf-8"?>
<ds:datastoreItem xmlns:ds="http://schemas.openxmlformats.org/officeDocument/2006/customXml" ds:itemID="{2A7A5F75-97F6-4B65-A292-C3DD95D14201}">
  <ds:schemaRefs>
    <ds:schemaRef ds:uri="http://schemas.openxmlformats.org/officeDocument/2006/bibliography"/>
  </ds:schemaRefs>
</ds:datastoreItem>
</file>

<file path=customXml/itemProps4.xml><?xml version="1.0" encoding="utf-8"?>
<ds:datastoreItem xmlns:ds="http://schemas.openxmlformats.org/officeDocument/2006/customXml" ds:itemID="{631C5A81-F99F-47D7-AA64-5A1AE412E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36ca8-3775-4e67-8fde-944c9a0b113a"/>
    <ds:schemaRef ds:uri="0f4491c0-0eb5-41a8-997a-1b3dad6c5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1312</Words>
  <Characters>7219</Characters>
  <Application>Microsoft Office Word</Application>
  <DocSecurity>0</DocSecurity>
  <Lines>60</Lines>
  <Paragraphs>17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SLRB BGHM</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Ewbank de Wespin</dc:creator>
  <cp:lastModifiedBy>Gaëlle RODRIGUEZ</cp:lastModifiedBy>
  <cp:revision>2</cp:revision>
  <dcterms:created xsi:type="dcterms:W3CDTF">2024-11-26T12:44:00Z</dcterms:created>
  <dcterms:modified xsi:type="dcterms:W3CDTF">2024-11-26T12:44:00Z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0x010100B1D9BF2E6D4EC34FBC29E62A15BBF8E8</vt:lpwstr>
  </property>
</Properties>
</file>