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D1DF9" w14:textId="686CC1DB" w:rsidR="00DE3462" w:rsidRPr="004275E5" w:rsidRDefault="00DE3462" w:rsidP="00DE3462">
      <w:pPr>
        <w:jc w:val="center"/>
        <w:rPr>
          <w:b/>
          <w:bCs/>
          <w:sz w:val="24"/>
          <w:szCs w:val="24"/>
          <w:lang w:val="fr-BE"/>
        </w:rPr>
      </w:pPr>
      <w:r w:rsidRPr="004275E5">
        <w:rPr>
          <w:b/>
          <w:bCs/>
          <w:sz w:val="24"/>
          <w:szCs w:val="24"/>
          <w:lang w:val="fr-BE"/>
        </w:rPr>
        <w:t>Modifications au « Cahier spécial des charges pour la désignation d’une</w:t>
      </w:r>
    </w:p>
    <w:p w14:paraId="67315578" w14:textId="2F55DA4F" w:rsidR="00DE3462" w:rsidRPr="004275E5" w:rsidRDefault="00DE3462" w:rsidP="00DE3462">
      <w:pPr>
        <w:jc w:val="center"/>
        <w:rPr>
          <w:b/>
          <w:bCs/>
          <w:sz w:val="24"/>
          <w:szCs w:val="24"/>
          <w:lang w:val="nl-NL"/>
        </w:rPr>
      </w:pPr>
      <w:r w:rsidRPr="004275E5">
        <w:rPr>
          <w:b/>
          <w:bCs/>
          <w:sz w:val="24"/>
          <w:szCs w:val="24"/>
          <w:lang w:val="nl-NL"/>
        </w:rPr>
        <w:t xml:space="preserve">équipe </w:t>
      </w:r>
      <w:proofErr w:type="spellStart"/>
      <w:r w:rsidRPr="004275E5">
        <w:rPr>
          <w:b/>
          <w:bCs/>
          <w:sz w:val="24"/>
          <w:szCs w:val="24"/>
          <w:lang w:val="nl-NL"/>
        </w:rPr>
        <w:t>pluridisciplinaire</w:t>
      </w:r>
      <w:proofErr w:type="spellEnd"/>
      <w:r w:rsidRPr="004275E5">
        <w:rPr>
          <w:b/>
          <w:bCs/>
          <w:sz w:val="24"/>
          <w:szCs w:val="24"/>
          <w:lang w:val="nl-NL"/>
        </w:rPr>
        <w:t> » - Veranderingen van het « Bijzonder bestek</w:t>
      </w:r>
    </w:p>
    <w:p w14:paraId="02AC07B5" w14:textId="5C9C04B0" w:rsidR="002346A0" w:rsidRPr="004275E5" w:rsidRDefault="00DE3462" w:rsidP="00DE3462">
      <w:pPr>
        <w:jc w:val="center"/>
        <w:rPr>
          <w:b/>
          <w:bCs/>
          <w:sz w:val="24"/>
          <w:szCs w:val="24"/>
          <w:lang w:val="nl-NL"/>
        </w:rPr>
      </w:pPr>
      <w:r w:rsidRPr="004275E5">
        <w:rPr>
          <w:b/>
          <w:bCs/>
          <w:sz w:val="24"/>
          <w:szCs w:val="24"/>
          <w:lang w:val="nl-NL"/>
        </w:rPr>
        <w:t>voor de aanstelling van een multidisciplinair team”</w:t>
      </w:r>
    </w:p>
    <w:p w14:paraId="399A5B10" w14:textId="1C958A36" w:rsidR="004275E5" w:rsidRDefault="004275E5" w:rsidP="00DE3462">
      <w:pPr>
        <w:jc w:val="center"/>
        <w:rPr>
          <w:sz w:val="24"/>
          <w:szCs w:val="24"/>
          <w:lang w:val="nl-NL"/>
        </w:rPr>
      </w:pPr>
      <w:proofErr w:type="spellStart"/>
      <w:r>
        <w:rPr>
          <w:sz w:val="24"/>
          <w:szCs w:val="24"/>
          <w:lang w:val="nl-NL"/>
        </w:rPr>
        <w:t>Octobre</w:t>
      </w:r>
      <w:proofErr w:type="spellEnd"/>
      <w:r>
        <w:rPr>
          <w:sz w:val="24"/>
          <w:szCs w:val="24"/>
          <w:lang w:val="nl-NL"/>
        </w:rPr>
        <w:t xml:space="preserve"> 2023 – Oktober 2023</w:t>
      </w:r>
    </w:p>
    <w:p w14:paraId="4AF90ED4" w14:textId="77777777" w:rsidR="00DE3462" w:rsidRDefault="00DE3462" w:rsidP="00DE3462">
      <w:pPr>
        <w:jc w:val="center"/>
        <w:rPr>
          <w:sz w:val="24"/>
          <w:szCs w:val="24"/>
          <w:lang w:val="nl-NL"/>
        </w:rPr>
      </w:pPr>
    </w:p>
    <w:tbl>
      <w:tblPr>
        <w:tblStyle w:val="Grilledutableau"/>
        <w:tblpPr w:leftFromText="141" w:rightFromText="141" w:vertAnchor="text" w:tblpY="1"/>
        <w:tblOverlap w:val="never"/>
        <w:tblW w:w="0" w:type="auto"/>
        <w:tblLook w:val="04A0" w:firstRow="1" w:lastRow="0" w:firstColumn="1" w:lastColumn="0" w:noHBand="0" w:noVBand="1"/>
      </w:tblPr>
      <w:tblGrid>
        <w:gridCol w:w="4500"/>
        <w:gridCol w:w="4562"/>
      </w:tblGrid>
      <w:tr w:rsidR="00DE3462" w14:paraId="1603F8D1" w14:textId="77777777" w:rsidTr="00C07FC2">
        <w:trPr>
          <w:trHeight w:val="851"/>
        </w:trPr>
        <w:tc>
          <w:tcPr>
            <w:tcW w:w="4957" w:type="dxa"/>
            <w:vAlign w:val="center"/>
          </w:tcPr>
          <w:p w14:paraId="2D840FFA" w14:textId="77777777" w:rsidR="00DE3462" w:rsidRDefault="00DE3462" w:rsidP="00DE3462">
            <w:pPr>
              <w:jc w:val="center"/>
              <w:rPr>
                <w:sz w:val="24"/>
                <w:szCs w:val="24"/>
                <w:lang w:val="nl-NL"/>
              </w:rPr>
            </w:pPr>
          </w:p>
          <w:p w14:paraId="1A11A643" w14:textId="3224169B" w:rsidR="00DE3462" w:rsidRDefault="00DE3462" w:rsidP="00DE3462">
            <w:pPr>
              <w:jc w:val="center"/>
              <w:rPr>
                <w:sz w:val="24"/>
                <w:szCs w:val="24"/>
                <w:lang w:val="nl-NL"/>
              </w:rPr>
            </w:pPr>
            <w:r>
              <w:rPr>
                <w:sz w:val="24"/>
                <w:szCs w:val="24"/>
                <w:lang w:val="nl-NL"/>
              </w:rPr>
              <w:t>Version FR</w:t>
            </w:r>
          </w:p>
          <w:p w14:paraId="6F3C3249" w14:textId="0AFD0218" w:rsidR="00DE3462" w:rsidRDefault="00DE3462" w:rsidP="00DE3462">
            <w:pPr>
              <w:jc w:val="center"/>
              <w:rPr>
                <w:sz w:val="24"/>
                <w:szCs w:val="24"/>
                <w:lang w:val="nl-NL"/>
              </w:rPr>
            </w:pPr>
          </w:p>
        </w:tc>
        <w:tc>
          <w:tcPr>
            <w:tcW w:w="4105" w:type="dxa"/>
            <w:vAlign w:val="center"/>
          </w:tcPr>
          <w:p w14:paraId="73621D1E" w14:textId="3E65B13A" w:rsidR="00DE3462" w:rsidRDefault="00DE3462" w:rsidP="00DE3462">
            <w:pPr>
              <w:jc w:val="center"/>
              <w:rPr>
                <w:sz w:val="24"/>
                <w:szCs w:val="24"/>
                <w:lang w:val="nl-NL"/>
              </w:rPr>
            </w:pPr>
            <w:r>
              <w:rPr>
                <w:sz w:val="24"/>
                <w:szCs w:val="24"/>
                <w:lang w:val="nl-NL"/>
              </w:rPr>
              <w:t>NL-Versie</w:t>
            </w:r>
          </w:p>
        </w:tc>
      </w:tr>
      <w:tr w:rsidR="00DE3462" w:rsidRPr="00C07FC2" w14:paraId="012A48BF" w14:textId="77777777" w:rsidTr="00C07FC2">
        <w:trPr>
          <w:trHeight w:val="851"/>
        </w:trPr>
        <w:tc>
          <w:tcPr>
            <w:tcW w:w="4957" w:type="dxa"/>
            <w:shd w:val="clear" w:color="auto" w:fill="00A4B7"/>
            <w:vAlign w:val="center"/>
          </w:tcPr>
          <w:p w14:paraId="69D01339" w14:textId="0A14EE0D" w:rsidR="00DE3462" w:rsidRPr="006C2BB6" w:rsidRDefault="00123B25" w:rsidP="00DE3462">
            <w:pPr>
              <w:spacing w:after="60"/>
              <w:jc w:val="center"/>
              <w:rPr>
                <w:color w:val="FFFFFF" w:themeColor="background1"/>
              </w:rPr>
            </w:pPr>
            <w:r w:rsidRPr="00123B25">
              <w:rPr>
                <w:color w:val="FFFFFF" w:themeColor="background1"/>
              </w:rPr>
              <w:t>PARTIE 1 : GENERALITES</w:t>
            </w:r>
            <w:r>
              <w:rPr>
                <w:color w:val="FFFFFF" w:themeColor="background1"/>
              </w:rPr>
              <w:t xml:space="preserve">, </w:t>
            </w:r>
            <w:r w:rsidR="00EF3427" w:rsidRPr="00EF3427">
              <w:rPr>
                <w:color w:val="FFFFFF" w:themeColor="background1"/>
              </w:rPr>
              <w:t>1/</w:t>
            </w:r>
            <w:r w:rsidR="00EF3427" w:rsidRPr="00EF3427">
              <w:rPr>
                <w:color w:val="FFFFFF" w:themeColor="background1"/>
              </w:rPr>
              <w:tab/>
              <w:t>Régie du marché</w:t>
            </w:r>
            <w:r w:rsidR="00EF3427">
              <w:rPr>
                <w:color w:val="FFFFFF" w:themeColor="background1"/>
              </w:rPr>
              <w:t xml:space="preserve">, </w:t>
            </w:r>
            <w:r w:rsidR="00242CB4" w:rsidRPr="00242CB4">
              <w:rPr>
                <w:color w:val="FFFFFF" w:themeColor="background1"/>
              </w:rPr>
              <w:t>1.1/ En application</w:t>
            </w:r>
            <w:r w:rsidR="009D0AE1">
              <w:rPr>
                <w:color w:val="FFFFFF" w:themeColor="background1"/>
              </w:rPr>
              <w:t xml:space="preserve"> (page 9)</w:t>
            </w:r>
          </w:p>
        </w:tc>
        <w:tc>
          <w:tcPr>
            <w:tcW w:w="4105" w:type="dxa"/>
            <w:shd w:val="clear" w:color="auto" w:fill="00A4B7"/>
            <w:vAlign w:val="center"/>
          </w:tcPr>
          <w:p w14:paraId="6E7E5FB3" w14:textId="4FBBB3B0" w:rsidR="00DE3462" w:rsidRPr="006C2BB6" w:rsidRDefault="00130790" w:rsidP="00DE3462">
            <w:pPr>
              <w:spacing w:after="60"/>
              <w:jc w:val="center"/>
              <w:rPr>
                <w:color w:val="FFFFFF" w:themeColor="background1"/>
                <w:lang w:val="nl-NL"/>
              </w:rPr>
            </w:pPr>
            <w:r w:rsidRPr="00130790">
              <w:rPr>
                <w:color w:val="FFFFFF" w:themeColor="background1"/>
                <w:lang w:val="nl-NL"/>
              </w:rPr>
              <w:t>DEEL 1: ALGEMEEN</w:t>
            </w:r>
            <w:r>
              <w:rPr>
                <w:color w:val="FFFFFF" w:themeColor="background1"/>
                <w:lang w:val="nl-NL"/>
              </w:rPr>
              <w:t xml:space="preserve">, </w:t>
            </w:r>
            <w:r w:rsidR="005A3F10" w:rsidRPr="005A3F10">
              <w:rPr>
                <w:color w:val="FFFFFF" w:themeColor="background1"/>
                <w:lang w:val="nl-NL"/>
              </w:rPr>
              <w:t>1/</w:t>
            </w:r>
            <w:r w:rsidR="005A3F10" w:rsidRPr="005A3F10">
              <w:rPr>
                <w:color w:val="FFFFFF" w:themeColor="background1"/>
                <w:lang w:val="nl-NL"/>
              </w:rPr>
              <w:tab/>
              <w:t>Regie van de opdracht</w:t>
            </w:r>
            <w:r w:rsidR="005A3F10">
              <w:rPr>
                <w:color w:val="FFFFFF" w:themeColor="background1"/>
                <w:lang w:val="nl-NL"/>
              </w:rPr>
              <w:t xml:space="preserve">, </w:t>
            </w:r>
            <w:r w:rsidR="00887A14" w:rsidRPr="00887A14">
              <w:rPr>
                <w:color w:val="FFFFFF" w:themeColor="background1"/>
                <w:lang w:val="nl-NL"/>
              </w:rPr>
              <w:t>1.1/ Toepasselijke regelgeving</w:t>
            </w:r>
            <w:r w:rsidR="00887A14">
              <w:rPr>
                <w:color w:val="FFFFFF" w:themeColor="background1"/>
                <w:lang w:val="nl-NL"/>
              </w:rPr>
              <w:t xml:space="preserve"> (pagina 9)</w:t>
            </w:r>
          </w:p>
        </w:tc>
      </w:tr>
      <w:tr w:rsidR="00DE3462" w:rsidRPr="00C07FC2" w14:paraId="6CCADDAE" w14:textId="77777777" w:rsidTr="00C07FC2">
        <w:trPr>
          <w:trHeight w:val="851"/>
        </w:trPr>
        <w:tc>
          <w:tcPr>
            <w:tcW w:w="4957" w:type="dxa"/>
            <w:vAlign w:val="center"/>
          </w:tcPr>
          <w:p w14:paraId="60961269" w14:textId="77777777" w:rsidR="007B7F23" w:rsidRPr="00351C64" w:rsidRDefault="007B7F23" w:rsidP="00DE3462">
            <w:pPr>
              <w:spacing w:after="60"/>
              <w:jc w:val="both"/>
              <w:rPr>
                <w:rFonts w:eastAsia="Times New Roman" w:cs="Arial"/>
                <w:b/>
                <w:bCs/>
                <w:lang w:val="nl-NL" w:eastAsia="fr-FR"/>
              </w:rPr>
            </w:pPr>
          </w:p>
          <w:p w14:paraId="2837264D" w14:textId="5BE6BB41" w:rsidR="00A62258" w:rsidRDefault="007B7F23" w:rsidP="00A62258">
            <w:pPr>
              <w:spacing w:after="60"/>
              <w:jc w:val="both"/>
              <w:rPr>
                <w:rFonts w:eastAsia="Times New Roman" w:cs="Arial"/>
                <w:b/>
                <w:bCs/>
                <w:lang w:eastAsia="fr-FR"/>
              </w:rPr>
            </w:pPr>
            <w:r>
              <w:rPr>
                <w:rFonts w:eastAsia="Times New Roman" w:cs="Arial"/>
                <w:b/>
                <w:bCs/>
                <w:lang w:eastAsia="fr-FR"/>
              </w:rPr>
              <w:t>Nouveauté</w:t>
            </w:r>
            <w:r w:rsidR="00242CB4">
              <w:rPr>
                <w:rFonts w:eastAsia="Times New Roman" w:cs="Arial"/>
                <w:b/>
                <w:bCs/>
                <w:lang w:eastAsia="fr-FR"/>
              </w:rPr>
              <w:t>s</w:t>
            </w:r>
            <w:r w:rsidR="00A62258">
              <w:rPr>
                <w:rFonts w:eastAsia="Times New Roman" w:cs="Arial"/>
                <w:b/>
                <w:bCs/>
                <w:lang w:eastAsia="fr-FR"/>
              </w:rPr>
              <w:t> :</w:t>
            </w:r>
          </w:p>
          <w:p w14:paraId="30A588D4" w14:textId="77777777" w:rsidR="00A62258" w:rsidRDefault="00A62258" w:rsidP="00A62258">
            <w:pPr>
              <w:spacing w:after="60"/>
              <w:jc w:val="both"/>
              <w:rPr>
                <w:rFonts w:eastAsia="Times New Roman" w:cs="Arial"/>
                <w:lang w:eastAsia="fr-FR"/>
              </w:rPr>
            </w:pPr>
          </w:p>
          <w:p w14:paraId="7F8CD1C6" w14:textId="77777777" w:rsidR="00A12A54" w:rsidRDefault="00242CB4" w:rsidP="00750F19">
            <w:pPr>
              <w:spacing w:after="60"/>
              <w:jc w:val="both"/>
            </w:pPr>
            <w:r>
              <w:t>« </w:t>
            </w:r>
            <w:r w:rsidR="009D0AE1">
              <w:t xml:space="preserve"> </w:t>
            </w:r>
            <w:r w:rsidR="009D0AE1" w:rsidRPr="009D0AE1">
              <w:t>-</w:t>
            </w:r>
            <w:r w:rsidR="009D0AE1" w:rsidRPr="009D0AE1">
              <w:tab/>
              <w:t>Le Règlement (UE) 2016/679 du 27 avril 2016 relatif à la protection des personnes physiques à l’égard du traitement de données à caractère personnel et à la libre circulation de ces données (le RGPD).</w:t>
            </w:r>
            <w:r w:rsidR="009D0AE1">
              <w:t> »</w:t>
            </w:r>
          </w:p>
          <w:p w14:paraId="56CFC383" w14:textId="77777777" w:rsidR="009D0AE1" w:rsidRDefault="009D0AE1" w:rsidP="00750F19">
            <w:pPr>
              <w:spacing w:after="60"/>
              <w:jc w:val="both"/>
            </w:pPr>
          </w:p>
          <w:p w14:paraId="481A15A2" w14:textId="77777777" w:rsidR="009D0AE1" w:rsidRDefault="009D0AE1" w:rsidP="00750F19">
            <w:pPr>
              <w:spacing w:after="60"/>
              <w:jc w:val="both"/>
            </w:pPr>
            <w:r>
              <w:t>« </w:t>
            </w:r>
            <w:r w:rsidR="001D6E50">
              <w:t xml:space="preserve"> </w:t>
            </w:r>
            <w:r w:rsidR="001D6E50" w:rsidRPr="001D6E50">
              <w:t>En application des règles contenues dans les art.12/1 et suivants de la loi du 17 juin 2016 relative aux avances, la loi est complétée par les dispositions prévues par le présent cahier spécial des charges.</w:t>
            </w:r>
            <w:r w:rsidR="001D6E50">
              <w:t> »</w:t>
            </w:r>
          </w:p>
          <w:p w14:paraId="060E7611" w14:textId="77777777" w:rsidR="001D6E50" w:rsidRDefault="001D6E50" w:rsidP="00750F19">
            <w:pPr>
              <w:spacing w:after="60"/>
              <w:jc w:val="both"/>
            </w:pPr>
          </w:p>
          <w:p w14:paraId="4FD8A5ED" w14:textId="77777777" w:rsidR="001D6E50" w:rsidRPr="0048211B" w:rsidRDefault="001D6E50" w:rsidP="00750F19">
            <w:pPr>
              <w:spacing w:after="60"/>
              <w:jc w:val="both"/>
              <w:rPr>
                <w:b/>
                <w:bCs/>
              </w:rPr>
            </w:pPr>
            <w:r w:rsidRPr="0048211B">
              <w:rPr>
                <w:b/>
                <w:bCs/>
              </w:rPr>
              <w:t>Suppression :</w:t>
            </w:r>
          </w:p>
          <w:p w14:paraId="6752E0AB" w14:textId="77777777" w:rsidR="001D6E50" w:rsidRDefault="001D6E50" w:rsidP="00750F19">
            <w:pPr>
              <w:spacing w:after="60"/>
              <w:jc w:val="both"/>
            </w:pPr>
          </w:p>
          <w:p w14:paraId="23C24124" w14:textId="77777777" w:rsidR="001D6E50" w:rsidRDefault="001D6E50" w:rsidP="00750F19">
            <w:pPr>
              <w:spacing w:after="60"/>
              <w:jc w:val="both"/>
            </w:pPr>
            <w:r>
              <w:t>« </w:t>
            </w:r>
            <w:r w:rsidR="0048211B">
              <w:t xml:space="preserve"> </w:t>
            </w:r>
            <w:r w:rsidR="0048211B" w:rsidRPr="0048211B">
              <w:t>En application de l’article 3, § 2 de l’arrêté royal du 29 novembre 2022 relatif à l'octroi d'une avance dans le cadre des marchés publics en raison de la crise économique suite à la guerre en Ukraine, l’adjudicateur informe qu’il n’accorde pas d’avance à l’adjudicataire dans le cadre du présent marché.</w:t>
            </w:r>
            <w:r w:rsidR="0048211B">
              <w:t> »</w:t>
            </w:r>
          </w:p>
          <w:p w14:paraId="0FAA6CF1" w14:textId="397F9C03" w:rsidR="0048211B" w:rsidRPr="00DE3462" w:rsidRDefault="0048211B" w:rsidP="00750F19">
            <w:pPr>
              <w:spacing w:after="60"/>
              <w:jc w:val="both"/>
            </w:pPr>
          </w:p>
        </w:tc>
        <w:tc>
          <w:tcPr>
            <w:tcW w:w="4105" w:type="dxa"/>
            <w:vAlign w:val="center"/>
          </w:tcPr>
          <w:p w14:paraId="00A12A13" w14:textId="43797CE0" w:rsidR="000207C8" w:rsidRPr="007B7F23" w:rsidRDefault="007B7F23" w:rsidP="00DE3462">
            <w:pPr>
              <w:spacing w:after="60"/>
              <w:jc w:val="both"/>
              <w:rPr>
                <w:lang w:val="nl-NL"/>
              </w:rPr>
            </w:pPr>
            <w:r>
              <w:rPr>
                <w:b/>
                <w:bCs/>
                <w:lang w:val="nl-NL"/>
              </w:rPr>
              <w:t>Nieuw</w:t>
            </w:r>
            <w:r w:rsidR="000207C8" w:rsidRPr="00A12A54">
              <w:rPr>
                <w:b/>
                <w:bCs/>
                <w:lang w:val="nl-NL"/>
              </w:rPr>
              <w:t xml:space="preserve"> : </w:t>
            </w:r>
          </w:p>
          <w:p w14:paraId="0FCA48C4" w14:textId="77777777" w:rsidR="000207C8" w:rsidRDefault="000207C8" w:rsidP="00DE3462">
            <w:pPr>
              <w:spacing w:after="60"/>
              <w:jc w:val="both"/>
              <w:rPr>
                <w:lang w:val="nl-NL"/>
              </w:rPr>
            </w:pPr>
          </w:p>
          <w:p w14:paraId="0A0CB1B2" w14:textId="77777777" w:rsidR="00DE3462" w:rsidRDefault="0064338B" w:rsidP="00750F19">
            <w:pPr>
              <w:spacing w:after="60"/>
              <w:jc w:val="both"/>
              <w:rPr>
                <w:lang w:val="nl-NL"/>
              </w:rPr>
            </w:pPr>
            <w:r>
              <w:rPr>
                <w:lang w:val="nl-NL"/>
              </w:rPr>
              <w:t>“</w:t>
            </w:r>
            <w:r w:rsidRPr="0064338B">
              <w:rPr>
                <w:lang w:val="nl-NL"/>
              </w:rPr>
              <w:t xml:space="preserve"> -</w:t>
            </w:r>
            <w:r w:rsidRPr="0064338B">
              <w:rPr>
                <w:lang w:val="nl-NL"/>
              </w:rPr>
              <w:tab/>
              <w:t>de verordening (EU) 2016/679 van 27 april 2016 betreffende de bescherming van natuurlijke personen in verband met de verwerking van persoonsgegevens en betreffende het vrije verkeer van die gegevens (de AVG);</w:t>
            </w:r>
            <w:r>
              <w:rPr>
                <w:lang w:val="nl-NL"/>
              </w:rPr>
              <w:t>”</w:t>
            </w:r>
          </w:p>
          <w:p w14:paraId="24777667" w14:textId="77777777" w:rsidR="00621532" w:rsidRDefault="00621532" w:rsidP="00750F19">
            <w:pPr>
              <w:spacing w:after="60"/>
              <w:jc w:val="both"/>
              <w:rPr>
                <w:lang w:val="nl-NL"/>
              </w:rPr>
            </w:pPr>
          </w:p>
          <w:p w14:paraId="5FC99E98" w14:textId="34074308" w:rsidR="00925DC7" w:rsidRPr="00902687" w:rsidRDefault="00621532" w:rsidP="00925DC7">
            <w:pPr>
              <w:spacing w:after="60"/>
              <w:jc w:val="both"/>
              <w:rPr>
                <w:lang w:val="nl-NL"/>
              </w:rPr>
            </w:pPr>
            <w:r>
              <w:rPr>
                <w:lang w:val="nl-NL"/>
              </w:rPr>
              <w:t>“</w:t>
            </w:r>
            <w:r w:rsidR="00925DC7" w:rsidRPr="00902687">
              <w:rPr>
                <w:lang w:val="nl-NL"/>
              </w:rPr>
              <w:t xml:space="preserve"> Overeenkomstig de regels van art. 12/1 en volgende van de wet van 17 juni 2016 met betrekking tot de voorschotten, wordt de wet aangevuld met de bepalingen in dit bijzonder bestek.</w:t>
            </w:r>
          </w:p>
          <w:p w14:paraId="5B2ACBDC" w14:textId="77777777" w:rsidR="00621532" w:rsidRDefault="00925DC7" w:rsidP="00750F19">
            <w:pPr>
              <w:spacing w:after="60"/>
              <w:jc w:val="both"/>
              <w:rPr>
                <w:lang w:val="nl-NL"/>
              </w:rPr>
            </w:pPr>
            <w:r>
              <w:rPr>
                <w:lang w:val="nl-NL"/>
              </w:rPr>
              <w:t>“</w:t>
            </w:r>
          </w:p>
          <w:p w14:paraId="69787892" w14:textId="77777777" w:rsidR="00925DC7" w:rsidRDefault="00925DC7" w:rsidP="00750F19">
            <w:pPr>
              <w:spacing w:after="60"/>
              <w:jc w:val="both"/>
              <w:rPr>
                <w:lang w:val="nl-NL"/>
              </w:rPr>
            </w:pPr>
          </w:p>
          <w:p w14:paraId="2A02A3C0" w14:textId="77777777" w:rsidR="00925DC7" w:rsidRPr="00925DC7" w:rsidRDefault="00925DC7" w:rsidP="00750F19">
            <w:pPr>
              <w:spacing w:after="60"/>
              <w:jc w:val="both"/>
              <w:rPr>
                <w:b/>
                <w:bCs/>
                <w:lang w:val="nl-NL"/>
              </w:rPr>
            </w:pPr>
            <w:proofErr w:type="spellStart"/>
            <w:r w:rsidRPr="00925DC7">
              <w:rPr>
                <w:b/>
                <w:bCs/>
                <w:highlight w:val="yellow"/>
                <w:lang w:val="nl-NL"/>
              </w:rPr>
              <w:t>Suppression</w:t>
            </w:r>
            <w:proofErr w:type="spellEnd"/>
            <w:r w:rsidRPr="00925DC7">
              <w:rPr>
                <w:b/>
                <w:bCs/>
                <w:highlight w:val="yellow"/>
                <w:lang w:val="nl-NL"/>
              </w:rPr>
              <w:t>:</w:t>
            </w:r>
          </w:p>
          <w:p w14:paraId="3076655A" w14:textId="77777777" w:rsidR="00925DC7" w:rsidRDefault="00925DC7" w:rsidP="00750F19">
            <w:pPr>
              <w:spacing w:after="60"/>
              <w:jc w:val="both"/>
              <w:rPr>
                <w:lang w:val="nl-NL"/>
              </w:rPr>
            </w:pPr>
          </w:p>
          <w:p w14:paraId="18220948" w14:textId="096C99A9" w:rsidR="00925DC7" w:rsidRPr="000207C8" w:rsidRDefault="00925DC7" w:rsidP="00750F19">
            <w:pPr>
              <w:spacing w:after="60"/>
              <w:jc w:val="both"/>
              <w:rPr>
                <w:lang w:val="nl-NL"/>
              </w:rPr>
            </w:pPr>
            <w:r>
              <w:rPr>
                <w:lang w:val="nl-NL"/>
              </w:rPr>
              <w:t>“</w:t>
            </w:r>
            <w:r w:rsidR="00A637AF" w:rsidRPr="00A637AF">
              <w:rPr>
                <w:lang w:val="nl-NL"/>
              </w:rPr>
              <w:t xml:space="preserve"> In toepassing van artikel 3, § 2 van het koninklijk besluit van 29 november 2022 betreffende de toekenning van een voorschot in het kader van overheidsopdrachten omwille van de economische situatie door de oorlog in Oekraïne, meldt de aanbesteder dat hij de opdrachtnemer geen voorschot toekent in het kader van deze opdracht.</w:t>
            </w:r>
            <w:r w:rsidR="00A637AF">
              <w:rPr>
                <w:lang w:val="nl-NL"/>
              </w:rPr>
              <w:t>”</w:t>
            </w:r>
          </w:p>
        </w:tc>
      </w:tr>
      <w:tr w:rsidR="00C07FC2" w:rsidRPr="00C07FC2" w14:paraId="4D60FE7F" w14:textId="77777777" w:rsidTr="00675FA6">
        <w:trPr>
          <w:trHeight w:val="851"/>
        </w:trPr>
        <w:tc>
          <w:tcPr>
            <w:tcW w:w="9062" w:type="dxa"/>
            <w:gridSpan w:val="2"/>
            <w:shd w:val="clear" w:color="auto" w:fill="00A4B7"/>
            <w:vAlign w:val="center"/>
          </w:tcPr>
          <w:p w14:paraId="38E46BE6" w14:textId="77777777" w:rsidR="00C07FC2" w:rsidRPr="004902FF" w:rsidRDefault="00C07FC2" w:rsidP="001B7223">
            <w:pPr>
              <w:pStyle w:val="Titre1"/>
              <w:rPr>
                <w:rFonts w:ascii="Century Gothic" w:eastAsiaTheme="minorHAnsi" w:hAnsi="Century Gothic" w:cstheme="minorBidi"/>
                <w:color w:val="FFFFFF" w:themeColor="background1"/>
                <w:sz w:val="22"/>
                <w:szCs w:val="22"/>
              </w:rPr>
            </w:pPr>
            <w:bookmarkStart w:id="0" w:name="_Toc360801959"/>
            <w:bookmarkStart w:id="1" w:name="_Toc147138575"/>
            <w:r w:rsidRPr="004902FF">
              <w:rPr>
                <w:rFonts w:ascii="Century Gothic" w:eastAsiaTheme="minorHAnsi" w:hAnsi="Century Gothic" w:cstheme="minorBidi"/>
                <w:color w:val="FFFFFF" w:themeColor="background1"/>
                <w:sz w:val="22"/>
                <w:szCs w:val="22"/>
              </w:rPr>
              <w:t>PARTIE 2 : P</w:t>
            </w:r>
            <w:bookmarkEnd w:id="0"/>
            <w:r w:rsidRPr="004902FF">
              <w:rPr>
                <w:rFonts w:ascii="Century Gothic" w:eastAsiaTheme="minorHAnsi" w:hAnsi="Century Gothic" w:cstheme="minorBidi"/>
                <w:color w:val="FFFFFF" w:themeColor="background1"/>
                <w:sz w:val="22"/>
                <w:szCs w:val="22"/>
              </w:rPr>
              <w:t>ROCEDURE DE DESIGNATION</w:t>
            </w:r>
            <w:bookmarkEnd w:id="1"/>
            <w:r w:rsidRPr="004902FF">
              <w:rPr>
                <w:rFonts w:ascii="Century Gothic" w:eastAsiaTheme="minorHAnsi" w:hAnsi="Century Gothic" w:cstheme="minorBidi"/>
                <w:color w:val="FFFFFF" w:themeColor="background1"/>
                <w:sz w:val="22"/>
                <w:szCs w:val="22"/>
              </w:rPr>
              <w:t>,  LOI DU 17 JUIN 2016</w:t>
            </w:r>
            <w:r>
              <w:rPr>
                <w:rFonts w:ascii="Century Gothic" w:eastAsiaTheme="minorHAnsi" w:hAnsi="Century Gothic" w:cstheme="minorBidi"/>
                <w:color w:val="FFFFFF" w:themeColor="background1"/>
                <w:sz w:val="22"/>
                <w:szCs w:val="22"/>
              </w:rPr>
              <w:t xml:space="preserve"> (pages 16-17)</w:t>
            </w:r>
          </w:p>
          <w:p w14:paraId="0E75844C" w14:textId="3AB62544" w:rsidR="00C07FC2" w:rsidRPr="00C07FC2" w:rsidRDefault="00C07FC2" w:rsidP="00DE3462">
            <w:pPr>
              <w:spacing w:after="60"/>
              <w:jc w:val="both"/>
            </w:pPr>
          </w:p>
        </w:tc>
      </w:tr>
      <w:tr w:rsidR="00C07FC2" w:rsidRPr="00C07FC2" w14:paraId="429AD32D" w14:textId="77777777" w:rsidTr="00FD23DB">
        <w:trPr>
          <w:trHeight w:val="851"/>
        </w:trPr>
        <w:tc>
          <w:tcPr>
            <w:tcW w:w="9062" w:type="dxa"/>
            <w:gridSpan w:val="2"/>
            <w:vAlign w:val="center"/>
          </w:tcPr>
          <w:p w14:paraId="3F17AE87" w14:textId="77777777" w:rsidR="00C07FC2" w:rsidRDefault="00C07FC2" w:rsidP="00C07FC2">
            <w:pPr>
              <w:spacing w:after="60"/>
              <w:jc w:val="both"/>
              <w:rPr>
                <w:rFonts w:eastAsia="Times New Roman" w:cs="Arial"/>
                <w:b/>
                <w:bCs/>
                <w:lang w:eastAsia="fr-FR"/>
              </w:rPr>
            </w:pPr>
            <w:r>
              <w:rPr>
                <w:rFonts w:eastAsia="Times New Roman" w:cs="Arial"/>
                <w:b/>
                <w:bCs/>
                <w:lang w:eastAsia="fr-FR"/>
              </w:rPr>
              <w:lastRenderedPageBreak/>
              <w:t>Nouveauté :</w:t>
            </w:r>
          </w:p>
          <w:p w14:paraId="0A8F4F28" w14:textId="77777777" w:rsidR="00C07FC2" w:rsidRDefault="00C07FC2" w:rsidP="00C07FC2">
            <w:pPr>
              <w:spacing w:after="60"/>
              <w:jc w:val="both"/>
              <w:rPr>
                <w:rFonts w:eastAsia="Times New Roman" w:cs="Arial"/>
                <w:lang w:eastAsia="fr-FR"/>
              </w:rPr>
            </w:pPr>
          </w:p>
          <w:p w14:paraId="36DC6A67" w14:textId="77777777" w:rsidR="00C07FC2" w:rsidRDefault="00C07FC2" w:rsidP="00C07FC2">
            <w:pPr>
              <w:jc w:val="both"/>
              <w:textAlignment w:val="baseline"/>
              <w:rPr>
                <w:rFonts w:eastAsia="Times New Roman" w:cs="Segoe UI"/>
                <w:color w:val="000000"/>
                <w:lang w:eastAsia="fr-FR"/>
              </w:rPr>
            </w:pPr>
            <w:r>
              <w:rPr>
                <w:rFonts w:cs="Arial"/>
                <w:lang w:eastAsia="fr-FR"/>
              </w:rPr>
              <w:t>« </w:t>
            </w:r>
            <w:bookmarkStart w:id="2" w:name="_Toc73100786"/>
            <w:bookmarkStart w:id="3" w:name="_Toc147138589"/>
            <w:r w:rsidRPr="00B4086C">
              <w:t xml:space="preserve"> </w:t>
            </w:r>
            <w:bookmarkEnd w:id="2"/>
            <w:bookmarkEnd w:id="3"/>
            <w:r w:rsidRPr="00DB556A">
              <w:rPr>
                <w:rFonts w:eastAsia="Times New Roman" w:cs="Segoe UI"/>
                <w:color w:val="000000"/>
                <w:lang w:eastAsia="fr-FR"/>
              </w:rPr>
              <w:t xml:space="preserve"> Conformément à l’article 12/1 al. 2 2° de la loi du 17 juin 2016, le pouvoir adjudicateur verse une avance </w:t>
            </w:r>
            <w:r w:rsidRPr="00DB556A">
              <w:rPr>
                <w:rFonts w:eastAsia="Times New Roman" w:cs="Segoe UI"/>
                <w:color w:val="000000"/>
                <w:u w:val="single"/>
                <w:lang w:eastAsia="fr-FR"/>
              </w:rPr>
              <w:t>dans le cas où</w:t>
            </w:r>
            <w:r w:rsidRPr="00DB556A">
              <w:rPr>
                <w:rFonts w:eastAsia="Times New Roman" w:cs="Segoe UI"/>
                <w:color w:val="000000"/>
                <w:lang w:eastAsia="fr-FR"/>
              </w:rPr>
              <w:t xml:space="preserve"> le présent marché est attribué à une </w:t>
            </w:r>
            <w:r w:rsidRPr="00DB556A">
              <w:rPr>
                <w:rFonts w:eastAsia="Times New Roman" w:cs="Segoe UI"/>
                <w:color w:val="000000"/>
                <w:u w:val="single"/>
                <w:lang w:eastAsia="fr-FR"/>
              </w:rPr>
              <w:t>PME</w:t>
            </w:r>
            <w:r w:rsidRPr="00DB556A">
              <w:rPr>
                <w:rFonts w:eastAsia="Times New Roman" w:cs="Segoe UI"/>
                <w:color w:val="000000"/>
                <w:lang w:eastAsia="fr-FR"/>
              </w:rPr>
              <w:t xml:space="preserve"> au sens de l’article 163 §3, al. 2 de la loi.</w:t>
            </w:r>
          </w:p>
          <w:p w14:paraId="40EAC616" w14:textId="77777777" w:rsidR="00C07FC2" w:rsidRPr="00DB556A" w:rsidRDefault="00C07FC2" w:rsidP="00C07FC2">
            <w:pPr>
              <w:jc w:val="both"/>
              <w:textAlignment w:val="baseline"/>
              <w:rPr>
                <w:rFonts w:eastAsia="Times New Roman" w:cs="Segoe UI"/>
                <w:lang w:eastAsia="fr-FR"/>
              </w:rPr>
            </w:pPr>
          </w:p>
          <w:p w14:paraId="09BE1D93" w14:textId="77777777" w:rsidR="00C07FC2" w:rsidRPr="00DB556A" w:rsidRDefault="00C07FC2" w:rsidP="00C07FC2">
            <w:pPr>
              <w:jc w:val="both"/>
              <w:textAlignment w:val="baseline"/>
              <w:rPr>
                <w:rFonts w:eastAsia="Times New Roman" w:cs="Segoe UI"/>
                <w:lang w:eastAsia="fr-FR"/>
              </w:rPr>
            </w:pPr>
            <w:r w:rsidRPr="00DB556A">
              <w:rPr>
                <w:rFonts w:eastAsia="Times New Roman" w:cs="Segoe UI"/>
                <w:color w:val="000000"/>
                <w:lang w:eastAsia="fr-FR"/>
              </w:rPr>
              <w:t> </w:t>
            </w:r>
          </w:p>
          <w:p w14:paraId="5D81533D" w14:textId="77777777" w:rsidR="00C07FC2" w:rsidRPr="00DB556A" w:rsidRDefault="00C07FC2" w:rsidP="00C07FC2">
            <w:pPr>
              <w:jc w:val="both"/>
              <w:textAlignment w:val="baseline"/>
              <w:rPr>
                <w:rFonts w:eastAsia="Times New Roman" w:cs="Segoe UI"/>
                <w:u w:val="single"/>
                <w:lang w:eastAsia="fr-FR"/>
              </w:rPr>
            </w:pPr>
            <w:r w:rsidRPr="00DB556A">
              <w:rPr>
                <w:rFonts w:eastAsia="Times New Roman" w:cs="Segoe UI"/>
                <w:color w:val="000000"/>
                <w:u w:val="single"/>
                <w:lang w:eastAsia="fr-FR"/>
              </w:rPr>
              <w:t>L’avance est calculée comme suit</w:t>
            </w:r>
            <w:r w:rsidRPr="00DB556A">
              <w:rPr>
                <w:rFonts w:ascii="Arial" w:eastAsia="Times New Roman" w:hAnsi="Arial" w:cs="Arial"/>
                <w:color w:val="000000"/>
                <w:u w:val="single"/>
                <w:lang w:eastAsia="fr-FR"/>
              </w:rPr>
              <w:t> </w:t>
            </w:r>
            <w:r w:rsidRPr="00DB556A">
              <w:rPr>
                <w:rFonts w:eastAsia="Times New Roman" w:cs="Segoe UI"/>
                <w:color w:val="000000"/>
                <w:u w:val="single"/>
                <w:lang w:eastAsia="fr-FR"/>
              </w:rPr>
              <w:t>: </w:t>
            </w:r>
          </w:p>
          <w:p w14:paraId="456325E6" w14:textId="77777777" w:rsidR="00C07FC2" w:rsidRPr="00DB556A" w:rsidRDefault="00C07FC2" w:rsidP="00C07FC2">
            <w:pPr>
              <w:jc w:val="both"/>
              <w:textAlignment w:val="baseline"/>
              <w:rPr>
                <w:rFonts w:eastAsia="Times New Roman" w:cs="Segoe UI"/>
                <w:lang w:eastAsia="fr-FR"/>
              </w:rPr>
            </w:pPr>
            <w:r w:rsidRPr="00DB556A">
              <w:rPr>
                <w:rFonts w:eastAsia="Times New Roman" w:cs="Segoe UI"/>
                <w:color w:val="000000"/>
                <w:lang w:eastAsia="fr-FR"/>
              </w:rPr>
              <w:t> </w:t>
            </w:r>
          </w:p>
          <w:p w14:paraId="07B1C120" w14:textId="77777777" w:rsidR="00C07FC2" w:rsidRPr="00DB556A" w:rsidRDefault="00C07FC2" w:rsidP="00C07FC2">
            <w:pPr>
              <w:jc w:val="both"/>
              <w:textAlignment w:val="baseline"/>
              <w:rPr>
                <w:rFonts w:eastAsia="Times New Roman" w:cs="Segoe UI"/>
                <w:lang w:eastAsia="fr-FR"/>
              </w:rPr>
            </w:pPr>
            <w:r w:rsidRPr="00DB556A">
              <w:rPr>
                <w:rFonts w:eastAsia="Times New Roman" w:cs="Segoe UI"/>
                <w:color w:val="000000"/>
                <w:lang w:eastAsia="fr-FR"/>
              </w:rPr>
              <w:t>L</w:t>
            </w:r>
            <w:r w:rsidRPr="00DB556A">
              <w:rPr>
                <w:rFonts w:eastAsia="Times New Roman" w:cs="Segoe UI"/>
                <w:color w:val="000000"/>
                <w:lang w:val="fr-BE" w:eastAsia="fr-FR"/>
              </w:rPr>
              <w:t xml:space="preserve">e montant de l'avance est calculé en appliquant les pourcentages suivants </w:t>
            </w:r>
            <w:r w:rsidRPr="00DB556A">
              <w:rPr>
                <w:rFonts w:eastAsia="Times New Roman" w:cs="Segoe UI"/>
                <w:b/>
                <w:bCs/>
                <w:color w:val="000000"/>
                <w:lang w:val="fr-BE" w:eastAsia="fr-FR"/>
              </w:rPr>
              <w:t>à une valeur de référence</w:t>
            </w:r>
            <w:r w:rsidRPr="00DB556A">
              <w:rPr>
                <w:rFonts w:eastAsia="Times New Roman" w:cs="Segoe UI"/>
                <w:color w:val="000000"/>
                <w:lang w:val="fr-BE" w:eastAsia="fr-FR"/>
              </w:rPr>
              <w:t xml:space="preserve"> déterminée </w:t>
            </w:r>
            <w:r w:rsidRPr="00DB556A">
              <w:rPr>
                <w:rFonts w:eastAsia="Times New Roman" w:cs="Segoe UI"/>
                <w:i/>
                <w:iCs/>
                <w:color w:val="000000"/>
                <w:lang w:eastAsia="fr-FR"/>
              </w:rPr>
              <w:t>infra</w:t>
            </w:r>
            <w:r w:rsidRPr="00DB556A">
              <w:rPr>
                <w:rFonts w:eastAsia="Times New Roman" w:cs="Segoe UI"/>
                <w:color w:val="000000"/>
                <w:lang w:eastAsia="fr-FR"/>
              </w:rPr>
              <w:t xml:space="preserve"> </w:t>
            </w:r>
            <w:r w:rsidRPr="00DB556A">
              <w:rPr>
                <w:rFonts w:eastAsia="Times New Roman" w:cs="Segoe UI"/>
                <w:color w:val="000000"/>
                <w:lang w:val="fr-BE" w:eastAsia="fr-FR"/>
              </w:rPr>
              <w:t>:</w:t>
            </w:r>
            <w:r w:rsidRPr="00DB556A">
              <w:rPr>
                <w:rFonts w:ascii="Arial" w:eastAsia="Times New Roman" w:hAnsi="Arial" w:cs="Arial"/>
                <w:color w:val="000000"/>
                <w:lang w:val="fr-BE" w:eastAsia="fr-FR"/>
              </w:rPr>
              <w:t> </w:t>
            </w:r>
            <w:r w:rsidRPr="00DB556A">
              <w:rPr>
                <w:rFonts w:eastAsia="Times New Roman" w:cs="Segoe UI"/>
                <w:color w:val="000000"/>
                <w:lang w:eastAsia="fr-FR"/>
              </w:rPr>
              <w:t> </w:t>
            </w:r>
          </w:p>
          <w:p w14:paraId="494A9090" w14:textId="77777777" w:rsidR="00C07FC2" w:rsidRPr="00DB556A" w:rsidRDefault="00C07FC2" w:rsidP="00C07FC2">
            <w:pPr>
              <w:jc w:val="both"/>
              <w:textAlignment w:val="baseline"/>
              <w:rPr>
                <w:rFonts w:eastAsia="Times New Roman" w:cs="Segoe UI"/>
                <w:lang w:eastAsia="fr-FR"/>
              </w:rPr>
            </w:pPr>
            <w:r w:rsidRPr="00DB556A">
              <w:rPr>
                <w:rFonts w:eastAsia="Times New Roman" w:cs="Segoe UI"/>
                <w:color w:val="000000"/>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8"/>
              <w:gridCol w:w="4144"/>
              <w:gridCol w:w="2738"/>
            </w:tblGrid>
            <w:tr w:rsidR="00C07FC2" w:rsidRPr="00DB556A" w14:paraId="7E8AA718" w14:textId="77777777" w:rsidTr="00391B7D">
              <w:trPr>
                <w:trHeight w:val="300"/>
              </w:trPr>
              <w:tc>
                <w:tcPr>
                  <w:tcW w:w="1965" w:type="dxa"/>
                  <w:tcBorders>
                    <w:top w:val="single" w:sz="6" w:space="0" w:color="auto"/>
                    <w:left w:val="single" w:sz="6" w:space="0" w:color="auto"/>
                    <w:bottom w:val="single" w:sz="12" w:space="0" w:color="AE89B1"/>
                    <w:right w:val="single" w:sz="6" w:space="0" w:color="BDD6EE"/>
                  </w:tcBorders>
                  <w:shd w:val="clear" w:color="auto" w:fill="auto"/>
                  <w:hideMark/>
                </w:tcPr>
                <w:p w14:paraId="4C98B708" w14:textId="77777777" w:rsidR="00C07FC2" w:rsidRPr="00DB556A"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b/>
                      <w:bCs/>
                      <w:sz w:val="24"/>
                      <w:szCs w:val="24"/>
                      <w:lang w:eastAsia="fr-FR"/>
                    </w:rPr>
                  </w:pPr>
                  <w:r w:rsidRPr="00DB556A">
                    <w:rPr>
                      <w:rFonts w:eastAsia="Times New Roman" w:cs="Times New Roman"/>
                      <w:b/>
                      <w:bCs/>
                      <w:sz w:val="20"/>
                      <w:szCs w:val="20"/>
                      <w:lang w:eastAsia="fr-FR"/>
                    </w:rPr>
                    <w:t>Type d’adjudicataire </w:t>
                  </w:r>
                </w:p>
              </w:tc>
              <w:tc>
                <w:tcPr>
                  <w:tcW w:w="4230" w:type="dxa"/>
                  <w:tcBorders>
                    <w:top w:val="single" w:sz="6" w:space="0" w:color="auto"/>
                    <w:left w:val="single" w:sz="6" w:space="0" w:color="BDD6EE"/>
                    <w:bottom w:val="single" w:sz="12" w:space="0" w:color="AE89B1"/>
                    <w:right w:val="single" w:sz="6" w:space="0" w:color="BDD6EE"/>
                  </w:tcBorders>
                  <w:shd w:val="clear" w:color="auto" w:fill="auto"/>
                  <w:hideMark/>
                </w:tcPr>
                <w:p w14:paraId="19B29C21" w14:textId="77777777" w:rsidR="00C07FC2" w:rsidRPr="00DB556A"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b/>
                      <w:bCs/>
                      <w:sz w:val="24"/>
                      <w:szCs w:val="24"/>
                      <w:lang w:eastAsia="fr-FR"/>
                    </w:rPr>
                  </w:pPr>
                  <w:r w:rsidRPr="00DB556A">
                    <w:rPr>
                      <w:rFonts w:eastAsia="Times New Roman" w:cs="Times New Roman"/>
                      <w:b/>
                      <w:bCs/>
                      <w:sz w:val="20"/>
                      <w:szCs w:val="20"/>
                      <w:lang w:eastAsia="fr-FR"/>
                    </w:rPr>
                    <w:t>Caractéristiques </w:t>
                  </w:r>
                </w:p>
              </w:tc>
              <w:tc>
                <w:tcPr>
                  <w:tcW w:w="2805" w:type="dxa"/>
                  <w:tcBorders>
                    <w:top w:val="single" w:sz="6" w:space="0" w:color="auto"/>
                    <w:left w:val="single" w:sz="6" w:space="0" w:color="BDD6EE"/>
                    <w:bottom w:val="single" w:sz="12" w:space="0" w:color="AE89B1"/>
                    <w:right w:val="single" w:sz="6" w:space="0" w:color="auto"/>
                  </w:tcBorders>
                  <w:shd w:val="clear" w:color="auto" w:fill="auto"/>
                  <w:hideMark/>
                </w:tcPr>
                <w:p w14:paraId="741C58E1" w14:textId="77777777" w:rsidR="00C07FC2" w:rsidRPr="00DB556A"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b/>
                      <w:bCs/>
                      <w:sz w:val="24"/>
                      <w:szCs w:val="24"/>
                      <w:lang w:eastAsia="fr-FR"/>
                    </w:rPr>
                  </w:pPr>
                  <w:r w:rsidRPr="00DB556A">
                    <w:rPr>
                      <w:rFonts w:eastAsia="Times New Roman" w:cs="Times New Roman"/>
                      <w:b/>
                      <w:bCs/>
                      <w:sz w:val="20"/>
                      <w:szCs w:val="20"/>
                      <w:lang w:eastAsia="fr-FR"/>
                    </w:rPr>
                    <w:t>Pourcentage à appliquer* </w:t>
                  </w:r>
                </w:p>
              </w:tc>
            </w:tr>
            <w:tr w:rsidR="00C07FC2" w:rsidRPr="00DB556A" w14:paraId="435D494F" w14:textId="77777777" w:rsidTr="00391B7D">
              <w:trPr>
                <w:trHeight w:val="300"/>
              </w:trPr>
              <w:tc>
                <w:tcPr>
                  <w:tcW w:w="1965" w:type="dxa"/>
                  <w:tcBorders>
                    <w:top w:val="single" w:sz="6" w:space="0" w:color="BDD6EE"/>
                    <w:left w:val="single" w:sz="6" w:space="0" w:color="auto"/>
                    <w:bottom w:val="single" w:sz="6" w:space="0" w:color="BDD6EE"/>
                    <w:right w:val="single" w:sz="6" w:space="0" w:color="BDD6EE"/>
                  </w:tcBorders>
                  <w:shd w:val="clear" w:color="auto" w:fill="auto"/>
                  <w:hideMark/>
                </w:tcPr>
                <w:p w14:paraId="2839518F" w14:textId="77777777" w:rsidR="00C07FC2" w:rsidRPr="00DB556A" w:rsidRDefault="00C07FC2" w:rsidP="00C07FC2">
                  <w:pPr>
                    <w:framePr w:hSpace="141" w:wrap="around" w:vAnchor="text" w:hAnchor="text" w:y="1"/>
                    <w:spacing w:after="0" w:line="240" w:lineRule="auto"/>
                    <w:suppressOverlap/>
                    <w:jc w:val="both"/>
                    <w:textAlignment w:val="baseline"/>
                    <w:rPr>
                      <w:rFonts w:ascii="Times New Roman" w:eastAsia="Times New Roman" w:hAnsi="Times New Roman" w:cs="Times New Roman"/>
                      <w:b/>
                      <w:bCs/>
                      <w:sz w:val="24"/>
                      <w:szCs w:val="24"/>
                      <w:lang w:eastAsia="fr-FR"/>
                    </w:rPr>
                  </w:pPr>
                  <w:r w:rsidRPr="00DB556A">
                    <w:rPr>
                      <w:rFonts w:eastAsia="Times New Roman" w:cs="Times New Roman"/>
                      <w:b/>
                      <w:bCs/>
                      <w:sz w:val="20"/>
                      <w:szCs w:val="20"/>
                      <w:u w:val="single"/>
                      <w:lang w:eastAsia="fr-FR"/>
                    </w:rPr>
                    <w:t>Micro-entreprise</w:t>
                  </w:r>
                  <w:r w:rsidRPr="00DB556A">
                    <w:rPr>
                      <w:rFonts w:eastAsia="Times New Roman" w:cs="Times New Roman"/>
                      <w:b/>
                      <w:bCs/>
                      <w:sz w:val="20"/>
                      <w:szCs w:val="20"/>
                      <w:lang w:eastAsia="fr-FR"/>
                    </w:rPr>
                    <w:t> </w:t>
                  </w:r>
                </w:p>
              </w:tc>
              <w:tc>
                <w:tcPr>
                  <w:tcW w:w="4230" w:type="dxa"/>
                  <w:tcBorders>
                    <w:top w:val="single" w:sz="6" w:space="0" w:color="BDD6EE"/>
                    <w:left w:val="single" w:sz="6" w:space="0" w:color="BDD6EE"/>
                    <w:bottom w:val="single" w:sz="6" w:space="0" w:color="BDD6EE"/>
                    <w:right w:val="single" w:sz="6" w:space="0" w:color="BDD6EE"/>
                  </w:tcBorders>
                  <w:shd w:val="clear" w:color="auto" w:fill="auto"/>
                  <w:hideMark/>
                </w:tcPr>
                <w:p w14:paraId="39FAAEF2" w14:textId="77777777" w:rsidR="00C07FC2" w:rsidRPr="00DB556A" w:rsidRDefault="00C07FC2" w:rsidP="00C07FC2">
                  <w:pPr>
                    <w:framePr w:hSpace="141" w:wrap="around" w:vAnchor="text" w:hAnchor="text" w:y="1"/>
                    <w:numPr>
                      <w:ilvl w:val="0"/>
                      <w:numId w:val="4"/>
                    </w:numPr>
                    <w:spacing w:after="0" w:line="240" w:lineRule="auto"/>
                    <w:ind w:left="1080" w:firstLine="0"/>
                    <w:suppressOverlap/>
                    <w:jc w:val="both"/>
                    <w:textAlignment w:val="baseline"/>
                    <w:rPr>
                      <w:rFonts w:eastAsia="Times New Roman" w:cs="Times New Roman"/>
                      <w:sz w:val="20"/>
                      <w:szCs w:val="20"/>
                      <w:lang w:eastAsia="fr-FR"/>
                    </w:rPr>
                  </w:pPr>
                  <w:r w:rsidRPr="00DB556A">
                    <w:rPr>
                      <w:rFonts w:eastAsia="Times New Roman" w:cs="Times New Roman"/>
                      <w:sz w:val="20"/>
                      <w:szCs w:val="20"/>
                      <w:lang w:eastAsia="fr-FR"/>
                    </w:rPr>
                    <w:t>Emploie moins de 10 personnes  </w:t>
                  </w:r>
                </w:p>
                <w:p w14:paraId="61164524" w14:textId="77777777" w:rsidR="00C07FC2" w:rsidRPr="00DB556A" w:rsidRDefault="00C07FC2" w:rsidP="00C07FC2">
                  <w:pPr>
                    <w:framePr w:hSpace="141" w:wrap="around" w:vAnchor="text" w:hAnchor="text" w:y="1"/>
                    <w:numPr>
                      <w:ilvl w:val="0"/>
                      <w:numId w:val="5"/>
                    </w:numPr>
                    <w:spacing w:after="0" w:line="240" w:lineRule="auto"/>
                    <w:ind w:left="1080" w:firstLine="0"/>
                    <w:suppressOverlap/>
                    <w:jc w:val="both"/>
                    <w:textAlignment w:val="baseline"/>
                    <w:rPr>
                      <w:rFonts w:eastAsia="Times New Roman" w:cs="Times New Roman"/>
                      <w:sz w:val="20"/>
                      <w:szCs w:val="20"/>
                      <w:lang w:eastAsia="fr-FR"/>
                    </w:rPr>
                  </w:pPr>
                  <w:r w:rsidRPr="00DB556A">
                    <w:rPr>
                      <w:rFonts w:eastAsia="Times New Roman" w:cs="Times New Roman"/>
                      <w:sz w:val="20"/>
                      <w:szCs w:val="20"/>
                      <w:lang w:eastAsia="fr-FR"/>
                    </w:rPr>
                    <w:t>Chiffre d'affaires annuel ou le total du bilan annuel ne dépasse pas 2.000.000 €. </w:t>
                  </w:r>
                </w:p>
              </w:tc>
              <w:tc>
                <w:tcPr>
                  <w:tcW w:w="2805" w:type="dxa"/>
                  <w:tcBorders>
                    <w:top w:val="single" w:sz="6" w:space="0" w:color="BDD6EE"/>
                    <w:left w:val="single" w:sz="6" w:space="0" w:color="BDD6EE"/>
                    <w:bottom w:val="single" w:sz="6" w:space="0" w:color="BDD6EE"/>
                    <w:right w:val="single" w:sz="6" w:space="0" w:color="auto"/>
                  </w:tcBorders>
                  <w:shd w:val="clear" w:color="auto" w:fill="auto"/>
                  <w:hideMark/>
                </w:tcPr>
                <w:p w14:paraId="2E675E01" w14:textId="77777777" w:rsidR="00C07FC2" w:rsidRPr="00DB556A"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sz w:val="24"/>
                      <w:szCs w:val="24"/>
                      <w:lang w:eastAsia="fr-FR"/>
                    </w:rPr>
                  </w:pPr>
                  <w:r w:rsidRPr="00DB556A">
                    <w:rPr>
                      <w:rFonts w:eastAsia="Times New Roman" w:cs="Times New Roman"/>
                      <w:sz w:val="20"/>
                      <w:szCs w:val="20"/>
                      <w:lang w:eastAsia="fr-FR"/>
                    </w:rPr>
                    <w:t> </w:t>
                  </w:r>
                </w:p>
                <w:p w14:paraId="4E8E23BB" w14:textId="77777777" w:rsidR="00C07FC2" w:rsidRPr="00DB556A"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sz w:val="24"/>
                      <w:szCs w:val="24"/>
                      <w:lang w:eastAsia="fr-FR"/>
                    </w:rPr>
                  </w:pPr>
                  <w:r w:rsidRPr="00DB556A">
                    <w:rPr>
                      <w:rFonts w:eastAsia="Times New Roman" w:cs="Times New Roman"/>
                      <w:sz w:val="20"/>
                      <w:szCs w:val="20"/>
                      <w:lang w:eastAsia="fr-FR"/>
                    </w:rPr>
                    <w:t> </w:t>
                  </w:r>
                </w:p>
                <w:p w14:paraId="3DFD8ED5" w14:textId="77777777" w:rsidR="00C07FC2" w:rsidRPr="00DB556A"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sz w:val="24"/>
                      <w:szCs w:val="24"/>
                      <w:lang w:eastAsia="fr-FR"/>
                    </w:rPr>
                  </w:pPr>
                  <w:r w:rsidRPr="00DB556A">
                    <w:rPr>
                      <w:rFonts w:eastAsia="Times New Roman" w:cs="Times New Roman"/>
                      <w:sz w:val="20"/>
                      <w:szCs w:val="20"/>
                      <w:lang w:eastAsia="fr-FR"/>
                    </w:rPr>
                    <w:t>20% </w:t>
                  </w:r>
                </w:p>
              </w:tc>
            </w:tr>
            <w:tr w:rsidR="00C07FC2" w:rsidRPr="00DB556A" w14:paraId="3D5E2F1E" w14:textId="77777777" w:rsidTr="00391B7D">
              <w:trPr>
                <w:trHeight w:val="300"/>
              </w:trPr>
              <w:tc>
                <w:tcPr>
                  <w:tcW w:w="1965" w:type="dxa"/>
                  <w:tcBorders>
                    <w:top w:val="single" w:sz="6" w:space="0" w:color="BDD6EE"/>
                    <w:left w:val="single" w:sz="6" w:space="0" w:color="auto"/>
                    <w:bottom w:val="single" w:sz="6" w:space="0" w:color="BDD6EE"/>
                    <w:right w:val="single" w:sz="6" w:space="0" w:color="BDD6EE"/>
                  </w:tcBorders>
                  <w:shd w:val="clear" w:color="auto" w:fill="auto"/>
                  <w:hideMark/>
                </w:tcPr>
                <w:p w14:paraId="6CD243EC" w14:textId="77777777" w:rsidR="00C07FC2" w:rsidRPr="00DB556A" w:rsidRDefault="00C07FC2" w:rsidP="00C07FC2">
                  <w:pPr>
                    <w:framePr w:hSpace="141" w:wrap="around" w:vAnchor="text" w:hAnchor="text" w:y="1"/>
                    <w:spacing w:after="0" w:line="240" w:lineRule="auto"/>
                    <w:suppressOverlap/>
                    <w:jc w:val="both"/>
                    <w:textAlignment w:val="baseline"/>
                    <w:rPr>
                      <w:rFonts w:ascii="Times New Roman" w:eastAsia="Times New Roman" w:hAnsi="Times New Roman" w:cs="Times New Roman"/>
                      <w:b/>
                      <w:bCs/>
                      <w:sz w:val="24"/>
                      <w:szCs w:val="24"/>
                      <w:lang w:eastAsia="fr-FR"/>
                    </w:rPr>
                  </w:pPr>
                  <w:r w:rsidRPr="00DB556A">
                    <w:rPr>
                      <w:rFonts w:eastAsia="Times New Roman" w:cs="Times New Roman"/>
                      <w:b/>
                      <w:bCs/>
                      <w:sz w:val="20"/>
                      <w:szCs w:val="20"/>
                      <w:u w:val="single"/>
                      <w:lang w:eastAsia="fr-FR"/>
                    </w:rPr>
                    <w:t>Petite entreprise</w:t>
                  </w:r>
                  <w:r w:rsidRPr="00DB556A">
                    <w:rPr>
                      <w:rFonts w:eastAsia="Times New Roman" w:cs="Times New Roman"/>
                      <w:b/>
                      <w:bCs/>
                      <w:sz w:val="20"/>
                      <w:szCs w:val="20"/>
                      <w:lang w:eastAsia="fr-FR"/>
                    </w:rPr>
                    <w:t> </w:t>
                  </w:r>
                </w:p>
              </w:tc>
              <w:tc>
                <w:tcPr>
                  <w:tcW w:w="4230" w:type="dxa"/>
                  <w:tcBorders>
                    <w:top w:val="single" w:sz="6" w:space="0" w:color="BDD6EE"/>
                    <w:left w:val="single" w:sz="6" w:space="0" w:color="BDD6EE"/>
                    <w:bottom w:val="single" w:sz="6" w:space="0" w:color="BDD6EE"/>
                    <w:right w:val="single" w:sz="6" w:space="0" w:color="BDD6EE"/>
                  </w:tcBorders>
                  <w:shd w:val="clear" w:color="auto" w:fill="auto"/>
                  <w:hideMark/>
                </w:tcPr>
                <w:p w14:paraId="5984A7F9" w14:textId="77777777" w:rsidR="00C07FC2" w:rsidRPr="00DB556A" w:rsidRDefault="00C07FC2" w:rsidP="00C07FC2">
                  <w:pPr>
                    <w:framePr w:hSpace="141" w:wrap="around" w:vAnchor="text" w:hAnchor="text" w:y="1"/>
                    <w:numPr>
                      <w:ilvl w:val="0"/>
                      <w:numId w:val="6"/>
                    </w:numPr>
                    <w:spacing w:after="0" w:line="240" w:lineRule="auto"/>
                    <w:ind w:left="1080" w:firstLine="0"/>
                    <w:suppressOverlap/>
                    <w:jc w:val="both"/>
                    <w:textAlignment w:val="baseline"/>
                    <w:rPr>
                      <w:rFonts w:eastAsia="Times New Roman" w:cs="Times New Roman"/>
                      <w:sz w:val="20"/>
                      <w:szCs w:val="20"/>
                      <w:lang w:eastAsia="fr-FR"/>
                    </w:rPr>
                  </w:pPr>
                  <w:r w:rsidRPr="00DB556A">
                    <w:rPr>
                      <w:rFonts w:eastAsia="Times New Roman" w:cs="Times New Roman"/>
                      <w:sz w:val="20"/>
                      <w:szCs w:val="20"/>
                      <w:lang w:eastAsia="fr-FR"/>
                    </w:rPr>
                    <w:t> Emploie moins de 50 personnes </w:t>
                  </w:r>
                </w:p>
                <w:p w14:paraId="512CE362" w14:textId="77777777" w:rsidR="00C07FC2" w:rsidRPr="00DB556A" w:rsidRDefault="00C07FC2" w:rsidP="00C07FC2">
                  <w:pPr>
                    <w:framePr w:hSpace="141" w:wrap="around" w:vAnchor="text" w:hAnchor="text" w:y="1"/>
                    <w:numPr>
                      <w:ilvl w:val="0"/>
                      <w:numId w:val="7"/>
                    </w:numPr>
                    <w:spacing w:after="0" w:line="240" w:lineRule="auto"/>
                    <w:ind w:left="1080" w:firstLine="0"/>
                    <w:suppressOverlap/>
                    <w:jc w:val="both"/>
                    <w:textAlignment w:val="baseline"/>
                    <w:rPr>
                      <w:rFonts w:eastAsia="Times New Roman" w:cs="Times New Roman"/>
                      <w:sz w:val="20"/>
                      <w:szCs w:val="20"/>
                      <w:lang w:eastAsia="fr-FR"/>
                    </w:rPr>
                  </w:pPr>
                  <w:r w:rsidRPr="00DB556A">
                    <w:rPr>
                      <w:rFonts w:eastAsia="Times New Roman" w:cs="Times New Roman"/>
                      <w:sz w:val="20"/>
                      <w:szCs w:val="20"/>
                      <w:lang w:eastAsia="fr-FR"/>
                    </w:rPr>
                    <w:t>Chiffre d'affaires annuel ou le total du bilan annuel ne dépasse pas 10.000.000€ </w:t>
                  </w:r>
                </w:p>
              </w:tc>
              <w:tc>
                <w:tcPr>
                  <w:tcW w:w="2805" w:type="dxa"/>
                  <w:tcBorders>
                    <w:top w:val="single" w:sz="6" w:space="0" w:color="BDD6EE"/>
                    <w:left w:val="single" w:sz="6" w:space="0" w:color="BDD6EE"/>
                    <w:bottom w:val="single" w:sz="6" w:space="0" w:color="BDD6EE"/>
                    <w:right w:val="single" w:sz="6" w:space="0" w:color="auto"/>
                  </w:tcBorders>
                  <w:shd w:val="clear" w:color="auto" w:fill="auto"/>
                  <w:hideMark/>
                </w:tcPr>
                <w:p w14:paraId="421BFDF8" w14:textId="77777777" w:rsidR="00C07FC2" w:rsidRPr="00DB556A"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sz w:val="24"/>
                      <w:szCs w:val="24"/>
                      <w:lang w:eastAsia="fr-FR"/>
                    </w:rPr>
                  </w:pPr>
                  <w:r w:rsidRPr="00DB556A">
                    <w:rPr>
                      <w:rFonts w:eastAsia="Times New Roman" w:cs="Times New Roman"/>
                      <w:sz w:val="20"/>
                      <w:szCs w:val="20"/>
                      <w:lang w:eastAsia="fr-FR"/>
                    </w:rPr>
                    <w:t> </w:t>
                  </w:r>
                </w:p>
                <w:p w14:paraId="46EAE4FE" w14:textId="77777777" w:rsidR="00C07FC2" w:rsidRPr="00DB556A"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sz w:val="24"/>
                      <w:szCs w:val="24"/>
                      <w:lang w:eastAsia="fr-FR"/>
                    </w:rPr>
                  </w:pPr>
                  <w:r w:rsidRPr="00DB556A">
                    <w:rPr>
                      <w:rFonts w:eastAsia="Times New Roman" w:cs="Times New Roman"/>
                      <w:sz w:val="20"/>
                      <w:szCs w:val="20"/>
                      <w:lang w:eastAsia="fr-FR"/>
                    </w:rPr>
                    <w:t> </w:t>
                  </w:r>
                </w:p>
                <w:p w14:paraId="3C5FAC35" w14:textId="77777777" w:rsidR="00C07FC2" w:rsidRPr="00DB556A"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sz w:val="24"/>
                      <w:szCs w:val="24"/>
                      <w:lang w:eastAsia="fr-FR"/>
                    </w:rPr>
                  </w:pPr>
                  <w:r w:rsidRPr="00DB556A">
                    <w:rPr>
                      <w:rFonts w:eastAsia="Times New Roman" w:cs="Times New Roman"/>
                      <w:sz w:val="20"/>
                      <w:szCs w:val="20"/>
                      <w:lang w:eastAsia="fr-FR"/>
                    </w:rPr>
                    <w:t>10% </w:t>
                  </w:r>
                </w:p>
              </w:tc>
            </w:tr>
            <w:tr w:rsidR="00C07FC2" w:rsidRPr="00DB556A" w14:paraId="3D8A7B37" w14:textId="77777777" w:rsidTr="00391B7D">
              <w:trPr>
                <w:trHeight w:val="300"/>
              </w:trPr>
              <w:tc>
                <w:tcPr>
                  <w:tcW w:w="1965" w:type="dxa"/>
                  <w:tcBorders>
                    <w:top w:val="single" w:sz="6" w:space="0" w:color="BDD6EE"/>
                    <w:left w:val="single" w:sz="6" w:space="0" w:color="auto"/>
                    <w:bottom w:val="single" w:sz="6" w:space="0" w:color="auto"/>
                    <w:right w:val="single" w:sz="6" w:space="0" w:color="BDD6EE"/>
                  </w:tcBorders>
                  <w:shd w:val="clear" w:color="auto" w:fill="auto"/>
                  <w:hideMark/>
                </w:tcPr>
                <w:p w14:paraId="61425EC6" w14:textId="77777777" w:rsidR="00C07FC2" w:rsidRPr="00DB556A" w:rsidRDefault="00C07FC2" w:rsidP="00C07FC2">
                  <w:pPr>
                    <w:framePr w:hSpace="141" w:wrap="around" w:vAnchor="text" w:hAnchor="text" w:y="1"/>
                    <w:spacing w:after="0" w:line="240" w:lineRule="auto"/>
                    <w:suppressOverlap/>
                    <w:jc w:val="both"/>
                    <w:textAlignment w:val="baseline"/>
                    <w:rPr>
                      <w:rFonts w:ascii="Times New Roman" w:eastAsia="Times New Roman" w:hAnsi="Times New Roman" w:cs="Times New Roman"/>
                      <w:b/>
                      <w:bCs/>
                      <w:sz w:val="24"/>
                      <w:szCs w:val="24"/>
                      <w:lang w:eastAsia="fr-FR"/>
                    </w:rPr>
                  </w:pPr>
                  <w:r w:rsidRPr="00DB556A">
                    <w:rPr>
                      <w:rFonts w:eastAsia="Times New Roman" w:cs="Times New Roman"/>
                      <w:b/>
                      <w:bCs/>
                      <w:sz w:val="20"/>
                      <w:szCs w:val="20"/>
                      <w:u w:val="single"/>
                      <w:lang w:eastAsia="fr-FR"/>
                    </w:rPr>
                    <w:t>Moyenne entreprise</w:t>
                  </w:r>
                  <w:r w:rsidRPr="00DB556A">
                    <w:rPr>
                      <w:rFonts w:eastAsia="Times New Roman" w:cs="Times New Roman"/>
                      <w:b/>
                      <w:bCs/>
                      <w:sz w:val="20"/>
                      <w:szCs w:val="20"/>
                      <w:lang w:eastAsia="fr-FR"/>
                    </w:rPr>
                    <w:t> </w:t>
                  </w:r>
                </w:p>
              </w:tc>
              <w:tc>
                <w:tcPr>
                  <w:tcW w:w="4230" w:type="dxa"/>
                  <w:tcBorders>
                    <w:top w:val="single" w:sz="6" w:space="0" w:color="BDD6EE"/>
                    <w:left w:val="single" w:sz="6" w:space="0" w:color="BDD6EE"/>
                    <w:bottom w:val="single" w:sz="6" w:space="0" w:color="auto"/>
                    <w:right w:val="single" w:sz="6" w:space="0" w:color="BDD6EE"/>
                  </w:tcBorders>
                  <w:shd w:val="clear" w:color="auto" w:fill="auto"/>
                  <w:hideMark/>
                </w:tcPr>
                <w:p w14:paraId="4A3AB9B4" w14:textId="77777777" w:rsidR="00C07FC2" w:rsidRPr="00DB556A" w:rsidRDefault="00C07FC2" w:rsidP="00C07FC2">
                  <w:pPr>
                    <w:framePr w:hSpace="141" w:wrap="around" w:vAnchor="text" w:hAnchor="text" w:y="1"/>
                    <w:numPr>
                      <w:ilvl w:val="0"/>
                      <w:numId w:val="8"/>
                    </w:numPr>
                    <w:spacing w:after="0" w:line="240" w:lineRule="auto"/>
                    <w:ind w:left="1080" w:firstLine="0"/>
                    <w:suppressOverlap/>
                    <w:jc w:val="both"/>
                    <w:textAlignment w:val="baseline"/>
                    <w:rPr>
                      <w:rFonts w:eastAsia="Times New Roman" w:cs="Times New Roman"/>
                      <w:sz w:val="20"/>
                      <w:szCs w:val="20"/>
                      <w:lang w:eastAsia="fr-FR"/>
                    </w:rPr>
                  </w:pPr>
                  <w:r w:rsidRPr="00DB556A">
                    <w:rPr>
                      <w:rFonts w:eastAsia="Times New Roman" w:cs="Times New Roman"/>
                      <w:sz w:val="20"/>
                      <w:szCs w:val="20"/>
                      <w:lang w:eastAsia="fr-FR"/>
                    </w:rPr>
                    <w:t>Emploie moins de 250 personnes  </w:t>
                  </w:r>
                </w:p>
                <w:p w14:paraId="49F31E2F" w14:textId="77777777" w:rsidR="00C07FC2" w:rsidRPr="00DB556A" w:rsidRDefault="00C07FC2" w:rsidP="00C07FC2">
                  <w:pPr>
                    <w:framePr w:hSpace="141" w:wrap="around" w:vAnchor="text" w:hAnchor="text" w:y="1"/>
                    <w:numPr>
                      <w:ilvl w:val="0"/>
                      <w:numId w:val="9"/>
                    </w:numPr>
                    <w:spacing w:after="0" w:line="240" w:lineRule="auto"/>
                    <w:ind w:left="1080" w:firstLine="0"/>
                    <w:suppressOverlap/>
                    <w:jc w:val="both"/>
                    <w:textAlignment w:val="baseline"/>
                    <w:rPr>
                      <w:rFonts w:eastAsia="Times New Roman" w:cs="Times New Roman"/>
                      <w:sz w:val="20"/>
                      <w:szCs w:val="20"/>
                      <w:lang w:eastAsia="fr-FR"/>
                    </w:rPr>
                  </w:pPr>
                  <w:r w:rsidRPr="00DB556A">
                    <w:rPr>
                      <w:rFonts w:eastAsia="Times New Roman" w:cs="Times New Roman"/>
                      <w:sz w:val="20"/>
                      <w:szCs w:val="20"/>
                      <w:lang w:eastAsia="fr-FR"/>
                    </w:rPr>
                    <w:t>Le chiffre d'affaires annuel n'excède pas cinquante millions d'euros ou dont le total du bilan annuel n'excède pas 43.000.000€ </w:t>
                  </w:r>
                </w:p>
              </w:tc>
              <w:tc>
                <w:tcPr>
                  <w:tcW w:w="2805" w:type="dxa"/>
                  <w:tcBorders>
                    <w:top w:val="single" w:sz="6" w:space="0" w:color="BDD6EE"/>
                    <w:left w:val="single" w:sz="6" w:space="0" w:color="BDD6EE"/>
                    <w:bottom w:val="single" w:sz="6" w:space="0" w:color="auto"/>
                    <w:right w:val="single" w:sz="6" w:space="0" w:color="auto"/>
                  </w:tcBorders>
                  <w:shd w:val="clear" w:color="auto" w:fill="auto"/>
                  <w:hideMark/>
                </w:tcPr>
                <w:p w14:paraId="0ED9CB37" w14:textId="77777777" w:rsidR="00C07FC2" w:rsidRPr="00DB556A" w:rsidRDefault="00C07FC2" w:rsidP="00C07FC2">
                  <w:pPr>
                    <w:framePr w:hSpace="141" w:wrap="around" w:vAnchor="text" w:hAnchor="text" w:y="1"/>
                    <w:spacing w:after="0" w:line="240" w:lineRule="auto"/>
                    <w:suppressOverlap/>
                    <w:jc w:val="both"/>
                    <w:textAlignment w:val="baseline"/>
                    <w:rPr>
                      <w:rFonts w:ascii="Times New Roman" w:eastAsia="Times New Roman" w:hAnsi="Times New Roman" w:cs="Times New Roman"/>
                      <w:sz w:val="24"/>
                      <w:szCs w:val="24"/>
                      <w:lang w:eastAsia="fr-FR"/>
                    </w:rPr>
                  </w:pPr>
                  <w:r w:rsidRPr="00DB556A">
                    <w:rPr>
                      <w:rFonts w:eastAsia="Times New Roman" w:cs="Times New Roman"/>
                      <w:sz w:val="20"/>
                      <w:szCs w:val="20"/>
                      <w:lang w:eastAsia="fr-FR"/>
                    </w:rPr>
                    <w:t> </w:t>
                  </w:r>
                </w:p>
                <w:p w14:paraId="5455C429" w14:textId="77777777" w:rsidR="00C07FC2" w:rsidRPr="00DB556A" w:rsidRDefault="00C07FC2" w:rsidP="00C07FC2">
                  <w:pPr>
                    <w:framePr w:hSpace="141" w:wrap="around" w:vAnchor="text" w:hAnchor="text" w:y="1"/>
                    <w:spacing w:after="0" w:line="240" w:lineRule="auto"/>
                    <w:suppressOverlap/>
                    <w:textAlignment w:val="baseline"/>
                    <w:rPr>
                      <w:rFonts w:ascii="Times New Roman" w:eastAsia="Times New Roman" w:hAnsi="Times New Roman" w:cs="Times New Roman"/>
                      <w:sz w:val="24"/>
                      <w:szCs w:val="24"/>
                      <w:lang w:eastAsia="fr-FR"/>
                    </w:rPr>
                  </w:pPr>
                  <w:r w:rsidRPr="00DB556A">
                    <w:rPr>
                      <w:rFonts w:eastAsia="Times New Roman" w:cs="Times New Roman"/>
                      <w:sz w:val="20"/>
                      <w:szCs w:val="20"/>
                      <w:lang w:eastAsia="fr-FR"/>
                    </w:rPr>
                    <w:t> </w:t>
                  </w:r>
                </w:p>
                <w:p w14:paraId="79534829" w14:textId="77777777" w:rsidR="00C07FC2" w:rsidRPr="00DB556A"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sz w:val="24"/>
                      <w:szCs w:val="24"/>
                      <w:lang w:eastAsia="fr-FR"/>
                    </w:rPr>
                  </w:pPr>
                  <w:r w:rsidRPr="00DB556A">
                    <w:rPr>
                      <w:rFonts w:eastAsia="Times New Roman" w:cs="Times New Roman"/>
                      <w:sz w:val="20"/>
                      <w:szCs w:val="20"/>
                      <w:lang w:eastAsia="fr-FR"/>
                    </w:rPr>
                    <w:t> </w:t>
                  </w:r>
                </w:p>
                <w:p w14:paraId="0B0442FC" w14:textId="77777777" w:rsidR="00C07FC2" w:rsidRPr="00DB556A"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sz w:val="24"/>
                      <w:szCs w:val="24"/>
                      <w:lang w:eastAsia="fr-FR"/>
                    </w:rPr>
                  </w:pPr>
                  <w:r w:rsidRPr="00DB556A">
                    <w:rPr>
                      <w:rFonts w:eastAsia="Times New Roman" w:cs="Times New Roman"/>
                      <w:sz w:val="20"/>
                      <w:szCs w:val="20"/>
                      <w:lang w:eastAsia="fr-FR"/>
                    </w:rPr>
                    <w:t>5% </w:t>
                  </w:r>
                </w:p>
              </w:tc>
            </w:tr>
          </w:tbl>
          <w:p w14:paraId="04A5B344" w14:textId="77777777" w:rsidR="00C07FC2" w:rsidRPr="00DB556A" w:rsidRDefault="00C07FC2" w:rsidP="00C07FC2">
            <w:pPr>
              <w:jc w:val="both"/>
              <w:textAlignment w:val="baseline"/>
              <w:rPr>
                <w:rFonts w:ascii="Segoe UI" w:eastAsia="Times New Roman" w:hAnsi="Segoe UI" w:cs="Segoe UI"/>
                <w:sz w:val="18"/>
                <w:szCs w:val="18"/>
                <w:lang w:eastAsia="fr-FR"/>
              </w:rPr>
            </w:pPr>
            <w:r w:rsidRPr="00DB556A">
              <w:rPr>
                <w:rFonts w:eastAsia="Times New Roman" w:cs="Segoe UI"/>
                <w:color w:val="000000"/>
                <w:sz w:val="20"/>
                <w:szCs w:val="20"/>
                <w:lang w:eastAsia="fr-FR"/>
              </w:rPr>
              <w:t> </w:t>
            </w:r>
          </w:p>
          <w:p w14:paraId="63DAF9B7" w14:textId="77777777" w:rsidR="00C07FC2" w:rsidRPr="00DB556A" w:rsidRDefault="00C07FC2" w:rsidP="00C07FC2">
            <w:pPr>
              <w:jc w:val="right"/>
              <w:textAlignment w:val="baseline"/>
              <w:rPr>
                <w:rFonts w:ascii="Segoe UI" w:eastAsia="Times New Roman" w:hAnsi="Segoe UI" w:cs="Segoe UI"/>
                <w:sz w:val="18"/>
                <w:szCs w:val="18"/>
                <w:lang w:eastAsia="fr-FR"/>
              </w:rPr>
            </w:pPr>
            <w:r w:rsidRPr="00DB556A">
              <w:rPr>
                <w:rFonts w:eastAsia="Times New Roman" w:cs="Segoe UI"/>
                <w:color w:val="000000"/>
                <w:sz w:val="20"/>
                <w:szCs w:val="20"/>
                <w:lang w:eastAsia="fr-FR"/>
              </w:rPr>
              <w:t>*sauf dans les cas visés à l'article 12/4, § 2.</w:t>
            </w:r>
            <w:r w:rsidRPr="00DB556A">
              <w:rPr>
                <w:rFonts w:ascii="Arial" w:eastAsia="Times New Roman" w:hAnsi="Arial" w:cs="Arial"/>
                <w:color w:val="000000"/>
                <w:sz w:val="20"/>
                <w:szCs w:val="20"/>
                <w:lang w:eastAsia="fr-FR"/>
              </w:rPr>
              <w:t>  </w:t>
            </w:r>
            <w:r w:rsidRPr="00DB556A">
              <w:rPr>
                <w:rFonts w:eastAsia="Times New Roman" w:cs="Segoe UI"/>
                <w:color w:val="000000"/>
                <w:sz w:val="20"/>
                <w:szCs w:val="20"/>
                <w:lang w:eastAsia="fr-FR"/>
              </w:rPr>
              <w:t> </w:t>
            </w:r>
          </w:p>
          <w:p w14:paraId="62AABC4B" w14:textId="77777777" w:rsidR="00C07FC2" w:rsidRPr="00DB556A" w:rsidRDefault="00C07FC2" w:rsidP="00C07FC2">
            <w:pPr>
              <w:textAlignment w:val="baseline"/>
              <w:rPr>
                <w:rFonts w:ascii="Segoe UI" w:eastAsia="Times New Roman" w:hAnsi="Segoe UI" w:cs="Segoe UI"/>
                <w:sz w:val="18"/>
                <w:szCs w:val="18"/>
                <w:lang w:eastAsia="fr-FR"/>
              </w:rPr>
            </w:pPr>
            <w:r w:rsidRPr="00DB556A">
              <w:rPr>
                <w:rFonts w:eastAsia="Times New Roman" w:cs="Segoe UI"/>
                <w:color w:val="000000"/>
                <w:sz w:val="20"/>
                <w:szCs w:val="20"/>
                <w:lang w:eastAsia="fr-FR"/>
              </w:rPr>
              <w:t> </w:t>
            </w:r>
          </w:p>
          <w:p w14:paraId="4B0668C8" w14:textId="77777777" w:rsidR="00C07FC2" w:rsidRPr="00DB556A" w:rsidRDefault="00C07FC2" w:rsidP="00C07FC2">
            <w:pPr>
              <w:jc w:val="both"/>
              <w:textAlignment w:val="baseline"/>
              <w:rPr>
                <w:rFonts w:eastAsia="Times New Roman" w:cs="Segoe UI"/>
                <w:lang w:eastAsia="fr-FR"/>
              </w:rPr>
            </w:pPr>
            <w:r w:rsidRPr="00DB556A">
              <w:rPr>
                <w:rFonts w:eastAsia="Times New Roman" w:cs="Segoe UI"/>
                <w:lang w:eastAsia="fr-FR"/>
              </w:rPr>
              <w:t>Dans le cas où le marché est attribué à un groupement d’opérateurs économiques composé de PME de tailles différentes, le pourcentage appliqué sera celui de la PME de taille la plus importante au sein du groupement.</w:t>
            </w:r>
          </w:p>
          <w:p w14:paraId="4FEE8AD6" w14:textId="77777777" w:rsidR="00C07FC2" w:rsidRPr="00DB556A" w:rsidRDefault="00C07FC2" w:rsidP="00C07FC2">
            <w:pPr>
              <w:jc w:val="both"/>
              <w:textAlignment w:val="baseline"/>
              <w:rPr>
                <w:rFonts w:eastAsia="Times New Roman" w:cs="Segoe UI"/>
                <w:lang w:eastAsia="fr-FR"/>
              </w:rPr>
            </w:pPr>
            <w:r w:rsidRPr="00DB556A">
              <w:rPr>
                <w:rFonts w:eastAsia="Times New Roman" w:cs="Segoe UI"/>
                <w:lang w:eastAsia="fr-FR"/>
              </w:rPr>
              <w:t>Par exemple : un groupement formé d’une micro-entreprise et d’une moyenne entreprise, le taux sera celui applicable aux moyennes entreprises.</w:t>
            </w:r>
          </w:p>
          <w:p w14:paraId="0D5106D7" w14:textId="77777777" w:rsidR="00C07FC2" w:rsidRDefault="00C07FC2" w:rsidP="00C07FC2">
            <w:pPr>
              <w:textAlignment w:val="baseline"/>
              <w:rPr>
                <w:rFonts w:ascii="Segoe UI" w:eastAsia="Times New Roman" w:hAnsi="Segoe UI" w:cs="Segoe UI"/>
                <w:lang w:eastAsia="fr-FR"/>
              </w:rPr>
            </w:pPr>
          </w:p>
          <w:p w14:paraId="78802A70" w14:textId="77777777" w:rsidR="00C07FC2" w:rsidRPr="00DB556A" w:rsidRDefault="00C07FC2" w:rsidP="00C07FC2">
            <w:pPr>
              <w:textAlignment w:val="baseline"/>
              <w:rPr>
                <w:rFonts w:ascii="Segoe UI" w:eastAsia="Times New Roman" w:hAnsi="Segoe UI" w:cs="Segoe UI"/>
                <w:lang w:eastAsia="fr-FR"/>
              </w:rPr>
            </w:pPr>
          </w:p>
          <w:p w14:paraId="67E8FDB3" w14:textId="77777777" w:rsidR="00C07FC2" w:rsidRPr="00DB556A" w:rsidRDefault="00C07FC2" w:rsidP="00C07FC2">
            <w:pPr>
              <w:jc w:val="both"/>
              <w:textAlignment w:val="baseline"/>
              <w:rPr>
                <w:rFonts w:ascii="Segoe UI" w:eastAsia="Times New Roman" w:hAnsi="Segoe UI" w:cs="Segoe UI"/>
                <w:highlight w:val="yellow"/>
                <w:lang w:eastAsia="fr-FR"/>
              </w:rPr>
            </w:pPr>
            <w:r w:rsidRPr="00DB556A">
              <w:rPr>
                <w:rFonts w:eastAsia="Times New Roman" w:cs="Times New Roman"/>
                <w:b/>
                <w:bCs/>
                <w:color w:val="000000"/>
                <w:lang w:eastAsia="fr-FR"/>
              </w:rPr>
              <w:t xml:space="preserve">Etant donné que le marché est à durée indéterminée, la valeur de référence </w:t>
            </w:r>
            <w:r w:rsidRPr="00DB556A">
              <w:rPr>
                <w:rFonts w:eastAsia="Times New Roman" w:cs="Times New Roman"/>
                <w:color w:val="000000"/>
                <w:lang w:eastAsia="fr-FR"/>
              </w:rPr>
              <w:t>sur laquelle le pourcentage sera appliqué est de</w:t>
            </w:r>
            <w:r w:rsidRPr="00DB556A">
              <w:rPr>
                <w:rFonts w:eastAsia="Calibri" w:cs="Times New Roman"/>
                <w:b/>
                <w:i/>
                <w:color w:val="3E5B7B"/>
                <w:lang w:eastAsia="fr-FR"/>
              </w:rPr>
              <w:t xml:space="preserve"> [veuillez compléter le montant sur base du calcul à faire dans l’encadré ci-dessous]</w:t>
            </w:r>
          </w:p>
          <w:p w14:paraId="7059B555" w14:textId="77777777" w:rsidR="00C07FC2" w:rsidRPr="00DB556A" w:rsidRDefault="00C07FC2" w:rsidP="00C07FC2">
            <w:pPr>
              <w:jc w:val="both"/>
              <w:textAlignment w:val="baseline"/>
              <w:rPr>
                <w:rFonts w:eastAsia="Times New Roman" w:cs="Segoe UI"/>
                <w:color w:val="000000"/>
                <w:sz w:val="20"/>
                <w:szCs w:val="20"/>
                <w:highlight w:val="yellow"/>
                <w:lang w:eastAsia="fr-FR"/>
              </w:rPr>
            </w:pPr>
          </w:p>
          <w:p w14:paraId="3C8E8101" w14:textId="77777777" w:rsidR="00C07FC2" w:rsidRPr="00DB556A" w:rsidRDefault="00C07FC2" w:rsidP="00C07FC2">
            <w:pPr>
              <w:spacing w:after="200"/>
              <w:jc w:val="both"/>
              <w:rPr>
                <w:rFonts w:eastAsia="Calibri" w:cs="Times New Roman"/>
                <w:lang w:eastAsia="fr-FR"/>
              </w:rPr>
            </w:pPr>
          </w:p>
          <w:p w14:paraId="41F7D868" w14:textId="77777777" w:rsidR="00C07FC2" w:rsidRPr="00DB556A" w:rsidRDefault="00C07FC2" w:rsidP="00C07FC2">
            <w:pPr>
              <w:pBdr>
                <w:top w:val="single" w:sz="4" w:space="1" w:color="E5004D"/>
                <w:left w:val="single" w:sz="4" w:space="4" w:color="E5004D"/>
                <w:bottom w:val="single" w:sz="4" w:space="1" w:color="E5004D"/>
                <w:right w:val="single" w:sz="4" w:space="4" w:color="E5004D"/>
              </w:pBdr>
              <w:spacing w:after="120"/>
              <w:rPr>
                <w:rFonts w:eastAsia="Calibri" w:cs="Times New Roman"/>
                <w:b/>
                <w:i/>
                <w:color w:val="E5004D"/>
                <w:u w:val="single"/>
                <w:lang w:val="fr-BE"/>
              </w:rPr>
            </w:pPr>
            <w:r w:rsidRPr="00DB556A">
              <w:rPr>
                <w:rFonts w:eastAsia="Calibri" w:cs="Times New Roman"/>
                <w:b/>
                <w:i/>
                <w:color w:val="E5004D"/>
                <w:u w:val="single"/>
                <w:lang w:val="fr-BE"/>
              </w:rPr>
              <w:t>Aide-mémoire :</w:t>
            </w:r>
          </w:p>
          <w:p w14:paraId="5C35EDD7" w14:textId="77777777" w:rsidR="00C07FC2" w:rsidRPr="00DB556A" w:rsidRDefault="00C07FC2" w:rsidP="00C07FC2">
            <w:pPr>
              <w:pBdr>
                <w:top w:val="single" w:sz="4" w:space="1" w:color="E5004D"/>
                <w:left w:val="single" w:sz="4" w:space="4" w:color="E5004D"/>
                <w:bottom w:val="single" w:sz="4" w:space="1" w:color="E5004D"/>
                <w:right w:val="single" w:sz="4" w:space="4" w:color="E5004D"/>
              </w:pBdr>
              <w:spacing w:after="200"/>
              <w:jc w:val="both"/>
              <w:rPr>
                <w:rFonts w:eastAsia="Calibri" w:cs="Times New Roman"/>
                <w:b/>
                <w:i/>
                <w:color w:val="E5004D"/>
                <w:lang w:val="fr-BE"/>
              </w:rPr>
            </w:pPr>
            <w:r w:rsidRPr="00DB556A">
              <w:rPr>
                <w:rFonts w:eastAsia="Calibri" w:cs="Times New Roman"/>
                <w:b/>
                <w:i/>
                <w:color w:val="E5004D"/>
                <w:lang w:val="fr-BE"/>
              </w:rPr>
              <w:t xml:space="preserve">Pour déterminer la valeur de référence, il y a lieu de calculer la valeur de référence en prenant en compte le montant des honoraires, </w:t>
            </w:r>
            <w:r w:rsidRPr="00DB556A">
              <w:rPr>
                <w:rFonts w:eastAsia="Calibri" w:cs="Times New Roman"/>
                <w:b/>
                <w:i/>
                <w:color w:val="E5004D"/>
                <w:u w:val="single"/>
                <w:lang w:val="fr-BE"/>
              </w:rPr>
              <w:t>toutes taxes comprises,</w:t>
            </w:r>
            <w:r w:rsidRPr="00DB556A">
              <w:rPr>
                <w:rFonts w:eastAsia="Calibri" w:cs="Times New Roman"/>
                <w:b/>
                <w:i/>
                <w:color w:val="E5004D"/>
                <w:lang w:val="fr-BE"/>
              </w:rPr>
              <w:t xml:space="preserve"> divisé par la durée estimée du marché en année sans tenir compte des tranches conditionnelles ni des reconductions.</w:t>
            </w:r>
            <w:r w:rsidRPr="00DB556A">
              <w:rPr>
                <w:rFonts w:eastAsia="Calibri" w:cs="Times New Roman"/>
                <w:b/>
                <w:i/>
                <w:color w:val="E5004D"/>
                <w:lang w:val="fr-BE"/>
              </w:rPr>
              <w:br/>
            </w:r>
          </w:p>
          <w:p w14:paraId="1BF225B4" w14:textId="77777777" w:rsidR="00C07FC2" w:rsidRPr="00DB556A" w:rsidRDefault="00C07FC2" w:rsidP="00C07FC2">
            <w:pPr>
              <w:jc w:val="both"/>
              <w:textAlignment w:val="baseline"/>
              <w:rPr>
                <w:rFonts w:eastAsia="Times New Roman" w:cs="Segoe UI"/>
                <w:lang w:eastAsia="fr-FR"/>
              </w:rPr>
            </w:pPr>
            <w:r w:rsidRPr="00DB556A">
              <w:rPr>
                <w:rFonts w:eastAsia="Times New Roman" w:cs="Segoe UI"/>
                <w:color w:val="000000"/>
                <w:lang w:eastAsia="fr-FR"/>
              </w:rPr>
              <w:t xml:space="preserve">L’application de ces nouvelles règles ne pourra </w:t>
            </w:r>
            <w:r w:rsidRPr="00DB556A">
              <w:rPr>
                <w:rFonts w:eastAsia="Times New Roman" w:cs="Segoe UI"/>
                <w:b/>
                <w:bCs/>
                <w:color w:val="000000"/>
                <w:lang w:eastAsia="fr-FR"/>
              </w:rPr>
              <w:t xml:space="preserve">jamais </w:t>
            </w:r>
            <w:r w:rsidRPr="00DB556A">
              <w:rPr>
                <w:rFonts w:eastAsia="Times New Roman" w:cs="Segoe UI"/>
                <w:color w:val="000000"/>
                <w:lang w:eastAsia="fr-FR"/>
              </w:rPr>
              <w:t xml:space="preserve">conduire à l’octroi d’une avance </w:t>
            </w:r>
            <w:r w:rsidRPr="00DB556A">
              <w:rPr>
                <w:rFonts w:eastAsia="Times New Roman" w:cs="Segoe UI"/>
                <w:b/>
                <w:bCs/>
                <w:color w:val="000000"/>
                <w:lang w:eastAsia="fr-FR"/>
              </w:rPr>
              <w:t>supérieure à 225.000 euros</w:t>
            </w:r>
            <w:r w:rsidRPr="00DB556A">
              <w:rPr>
                <w:rFonts w:eastAsia="Times New Roman" w:cs="Segoe UI"/>
                <w:color w:val="000000"/>
                <w:lang w:eastAsia="fr-FR"/>
              </w:rPr>
              <w:t>. </w:t>
            </w:r>
          </w:p>
          <w:p w14:paraId="339D20A4" w14:textId="77777777" w:rsidR="00C07FC2" w:rsidRPr="00DB556A" w:rsidRDefault="00C07FC2" w:rsidP="00C07FC2">
            <w:pPr>
              <w:jc w:val="both"/>
              <w:textAlignment w:val="baseline"/>
              <w:rPr>
                <w:rFonts w:eastAsia="Times New Roman" w:cs="Segoe UI"/>
                <w:lang w:eastAsia="fr-FR"/>
              </w:rPr>
            </w:pPr>
            <w:r w:rsidRPr="00DB556A">
              <w:rPr>
                <w:rFonts w:eastAsia="Times New Roman" w:cs="Segoe UI"/>
                <w:color w:val="000000"/>
                <w:lang w:eastAsia="fr-FR"/>
              </w:rPr>
              <w:t> </w:t>
            </w:r>
          </w:p>
          <w:p w14:paraId="6A0D3421" w14:textId="4883CB57" w:rsidR="00C07FC2" w:rsidRPr="00DB556A" w:rsidRDefault="00C07FC2" w:rsidP="00C07FC2">
            <w:pPr>
              <w:jc w:val="both"/>
              <w:textAlignment w:val="baseline"/>
              <w:rPr>
                <w:rFonts w:eastAsia="Times New Roman" w:cs="Segoe UI"/>
                <w:lang w:eastAsia="fr-FR"/>
              </w:rPr>
            </w:pPr>
            <w:r w:rsidRPr="00DB556A">
              <w:rPr>
                <w:rFonts w:eastAsia="Times New Roman" w:cs="Segoe UI"/>
                <w:color w:val="000000"/>
                <w:u w:val="single"/>
                <w:lang w:eastAsia="fr-FR"/>
              </w:rPr>
              <w:t>Modalités de paiement</w:t>
            </w:r>
            <w:r w:rsidRPr="00DB556A">
              <w:rPr>
                <w:rFonts w:ascii="Arial" w:eastAsia="Times New Roman" w:hAnsi="Arial" w:cs="Arial"/>
                <w:color w:val="000000"/>
                <w:u w:val="single"/>
                <w:lang w:eastAsia="fr-FR"/>
              </w:rPr>
              <w:t> </w:t>
            </w:r>
            <w:r w:rsidRPr="00DB556A">
              <w:rPr>
                <w:rFonts w:eastAsia="Times New Roman" w:cs="Segoe UI"/>
                <w:color w:val="000000"/>
                <w:u w:val="single"/>
                <w:lang w:eastAsia="fr-FR"/>
              </w:rPr>
              <w:t>:</w:t>
            </w:r>
            <w:r w:rsidRPr="00DB556A">
              <w:rPr>
                <w:rFonts w:eastAsia="Times New Roman" w:cs="Segoe UI"/>
                <w:color w:val="000000"/>
                <w:lang w:eastAsia="fr-FR"/>
              </w:rPr>
              <w:t>  </w:t>
            </w:r>
          </w:p>
          <w:p w14:paraId="7D069BC8" w14:textId="77777777" w:rsidR="00C07FC2" w:rsidRDefault="00C07FC2" w:rsidP="00C07FC2">
            <w:pPr>
              <w:pStyle w:val="Titre1"/>
              <w:rPr>
                <w:rFonts w:eastAsia="Times New Roman" w:cs="Segoe UI"/>
                <w:color w:val="000000"/>
                <w:lang w:eastAsia="fr-FR"/>
              </w:rPr>
            </w:pPr>
            <w:r w:rsidRPr="00C07FC2">
              <w:rPr>
                <w:rFonts w:ascii="Century Gothic" w:eastAsia="Times New Roman" w:hAnsi="Century Gothic" w:cs="Segoe UI"/>
                <w:color w:val="000000"/>
                <w:sz w:val="22"/>
                <w:szCs w:val="22"/>
                <w:lang w:eastAsia="fr-FR"/>
              </w:rPr>
              <w:t>L’avance est imputée sur les premières tranches de paiements telles que prévues à l’art. 66 du présent cahier spécial des charges jusqu’à atteindre le montant total de l’avance.</w:t>
            </w:r>
            <w:r w:rsidRPr="00DB556A">
              <w:rPr>
                <w:rFonts w:eastAsia="Times New Roman" w:cs="Segoe UI"/>
                <w:color w:val="000000"/>
                <w:lang w:eastAsia="fr-FR"/>
              </w:rPr>
              <w:t> </w:t>
            </w:r>
          </w:p>
          <w:p w14:paraId="0ABE53A0" w14:textId="1795D871" w:rsidR="00C07FC2" w:rsidRPr="00C07FC2" w:rsidRDefault="00C07FC2" w:rsidP="00C07FC2">
            <w:pPr>
              <w:rPr>
                <w:lang w:eastAsia="fr-FR"/>
              </w:rPr>
            </w:pPr>
          </w:p>
        </w:tc>
      </w:tr>
      <w:tr w:rsidR="00C07FC2" w:rsidRPr="00C07FC2" w14:paraId="1DB12DE3" w14:textId="77777777" w:rsidTr="00BD2AB1">
        <w:trPr>
          <w:trHeight w:val="851"/>
        </w:trPr>
        <w:tc>
          <w:tcPr>
            <w:tcW w:w="9062" w:type="dxa"/>
            <w:gridSpan w:val="2"/>
            <w:shd w:val="clear" w:color="auto" w:fill="00A4B7"/>
            <w:vAlign w:val="center"/>
          </w:tcPr>
          <w:p w14:paraId="3BE36547" w14:textId="7781E0D9" w:rsidR="00C07FC2" w:rsidRPr="00B517D5" w:rsidRDefault="00C07FC2" w:rsidP="00C07FC2">
            <w:pPr>
              <w:spacing w:after="60"/>
              <w:jc w:val="both"/>
              <w:rPr>
                <w:color w:val="FFFFFF" w:themeColor="background1"/>
                <w:lang w:val="nl-NL"/>
              </w:rPr>
            </w:pPr>
            <w:r w:rsidRPr="00C07FC2">
              <w:rPr>
                <w:color w:val="FFFFFF" w:themeColor="background1"/>
                <w:lang w:val="nl-NL"/>
              </w:rPr>
              <w:t>DEEL 2: AANSTELLINGSPROCEDURE,  WET VAN 17 JUNI 2016 (pagina’s 17-18)</w:t>
            </w:r>
          </w:p>
        </w:tc>
      </w:tr>
      <w:tr w:rsidR="00C07FC2" w:rsidRPr="00C07FC2" w14:paraId="602F7817" w14:textId="77777777" w:rsidTr="004667C3">
        <w:trPr>
          <w:trHeight w:val="851"/>
        </w:trPr>
        <w:tc>
          <w:tcPr>
            <w:tcW w:w="9062" w:type="dxa"/>
            <w:gridSpan w:val="2"/>
            <w:vAlign w:val="center"/>
          </w:tcPr>
          <w:p w14:paraId="7B9F8359" w14:textId="7AD9AB93" w:rsidR="00C07FC2" w:rsidRPr="007B7F23" w:rsidRDefault="00C07FC2" w:rsidP="00C07FC2">
            <w:pPr>
              <w:spacing w:after="60"/>
              <w:jc w:val="both"/>
              <w:rPr>
                <w:lang w:val="nl-NL"/>
              </w:rPr>
            </w:pPr>
            <w:r>
              <w:rPr>
                <w:b/>
                <w:bCs/>
                <w:lang w:val="nl-NL"/>
              </w:rPr>
              <w:t>Nieuw</w:t>
            </w:r>
            <w:r w:rsidRPr="00A12A54">
              <w:rPr>
                <w:b/>
                <w:bCs/>
                <w:lang w:val="nl-NL"/>
              </w:rPr>
              <w:t xml:space="preserve"> : </w:t>
            </w:r>
          </w:p>
          <w:p w14:paraId="317EF81A" w14:textId="77777777" w:rsidR="00C07FC2" w:rsidRDefault="00C07FC2" w:rsidP="00C07FC2">
            <w:pPr>
              <w:spacing w:after="60"/>
              <w:jc w:val="both"/>
              <w:rPr>
                <w:lang w:val="nl-NL"/>
              </w:rPr>
            </w:pPr>
          </w:p>
          <w:p w14:paraId="78788FE6" w14:textId="375C1A97" w:rsidR="00C07FC2" w:rsidRPr="00E64488" w:rsidRDefault="00C07FC2" w:rsidP="00C07FC2">
            <w:pPr>
              <w:jc w:val="both"/>
              <w:textAlignment w:val="baseline"/>
              <w:rPr>
                <w:rFonts w:eastAsia="Times New Roman" w:cs="Segoe UI"/>
                <w:lang w:val="nl-NL" w:eastAsia="fr-FR"/>
              </w:rPr>
            </w:pPr>
            <w:r>
              <w:rPr>
                <w:lang w:val="nl-NL"/>
              </w:rPr>
              <w:t>“</w:t>
            </w:r>
            <w:bookmarkStart w:id="4" w:name="_Toc73100576"/>
            <w:bookmarkStart w:id="5" w:name="_Toc147138966"/>
            <w:r w:rsidRPr="002D33A7">
              <w:rPr>
                <w:lang w:val="nl-NL"/>
              </w:rPr>
              <w:t xml:space="preserve"> </w:t>
            </w:r>
            <w:bookmarkEnd w:id="4"/>
            <w:bookmarkEnd w:id="5"/>
            <w:r w:rsidRPr="00E64488">
              <w:rPr>
                <w:rFonts w:eastAsia="Times New Roman" w:cs="Segoe UI"/>
                <w:color w:val="000000"/>
                <w:lang w:val="nl-NL" w:eastAsia="fr-FR"/>
              </w:rPr>
              <w:t xml:space="preserve"> In overeenstemming met artikel 12/1, 2e lid, 2° van de wet van 17 juni 2016 betaalt de aanbestedende overheid een voorschot </w:t>
            </w:r>
            <w:r w:rsidRPr="00E64488">
              <w:rPr>
                <w:rFonts w:eastAsia="Times New Roman" w:cs="Segoe UI"/>
                <w:color w:val="000000"/>
                <w:u w:val="single"/>
                <w:lang w:val="nl-NL" w:eastAsia="fr-FR"/>
              </w:rPr>
              <w:t>wanneer</w:t>
            </w:r>
            <w:r w:rsidRPr="00E64488">
              <w:rPr>
                <w:rFonts w:eastAsia="Times New Roman" w:cs="Segoe UI"/>
                <w:color w:val="000000"/>
                <w:lang w:val="nl-NL" w:eastAsia="fr-FR"/>
              </w:rPr>
              <w:t xml:space="preserve"> onderhavige opdracht wordt toegekend aan een KMO in de zin van artikel 163 §3, 2e lid van de wet.</w:t>
            </w:r>
          </w:p>
          <w:p w14:paraId="443551A8" w14:textId="77777777" w:rsidR="00C07FC2" w:rsidRPr="00E64488" w:rsidRDefault="00C07FC2" w:rsidP="00C07FC2">
            <w:pPr>
              <w:jc w:val="both"/>
              <w:textAlignment w:val="baseline"/>
              <w:rPr>
                <w:rFonts w:eastAsia="Times New Roman" w:cs="Segoe UI"/>
                <w:lang w:val="nl-NL" w:eastAsia="fr-FR"/>
              </w:rPr>
            </w:pPr>
            <w:r w:rsidRPr="00E64488">
              <w:rPr>
                <w:rFonts w:eastAsia="Times New Roman" w:cs="Segoe UI"/>
                <w:color w:val="000000"/>
                <w:lang w:val="nl-NL" w:eastAsia="fr-FR"/>
              </w:rPr>
              <w:t> </w:t>
            </w:r>
          </w:p>
          <w:p w14:paraId="4C8A7179" w14:textId="77777777" w:rsidR="00C07FC2" w:rsidRPr="00E64488" w:rsidRDefault="00C07FC2" w:rsidP="00C07FC2">
            <w:pPr>
              <w:jc w:val="both"/>
              <w:textAlignment w:val="baseline"/>
              <w:rPr>
                <w:rFonts w:eastAsia="Times New Roman" w:cs="Segoe UI"/>
                <w:u w:val="single"/>
                <w:lang w:val="nl-NL" w:eastAsia="fr-FR"/>
              </w:rPr>
            </w:pPr>
            <w:r w:rsidRPr="00E64488">
              <w:rPr>
                <w:rFonts w:eastAsia="Times New Roman" w:cs="Segoe UI"/>
                <w:color w:val="000000"/>
                <w:u w:val="single"/>
                <w:lang w:val="nl-NL" w:eastAsia="fr-FR"/>
              </w:rPr>
              <w:t>Het voorschot wordt als volgt berekend: </w:t>
            </w:r>
          </w:p>
          <w:p w14:paraId="763007D2" w14:textId="77777777" w:rsidR="00C07FC2" w:rsidRPr="00E64488" w:rsidRDefault="00C07FC2" w:rsidP="00C07FC2">
            <w:pPr>
              <w:jc w:val="both"/>
              <w:textAlignment w:val="baseline"/>
              <w:rPr>
                <w:rFonts w:eastAsia="Times New Roman" w:cs="Segoe UI"/>
                <w:lang w:val="nl-NL" w:eastAsia="fr-FR"/>
              </w:rPr>
            </w:pPr>
            <w:r w:rsidRPr="00E64488">
              <w:rPr>
                <w:rFonts w:eastAsia="Times New Roman" w:cs="Segoe UI"/>
                <w:color w:val="000000"/>
                <w:lang w:val="nl-NL" w:eastAsia="fr-FR"/>
              </w:rPr>
              <w:t> </w:t>
            </w:r>
          </w:p>
          <w:p w14:paraId="2BA8ED77" w14:textId="77777777" w:rsidR="00C07FC2" w:rsidRPr="00E64488" w:rsidRDefault="00C07FC2" w:rsidP="00C07FC2">
            <w:pPr>
              <w:jc w:val="both"/>
              <w:textAlignment w:val="baseline"/>
              <w:rPr>
                <w:rFonts w:eastAsia="Times New Roman" w:cs="Segoe UI"/>
                <w:lang w:val="nl-NL" w:eastAsia="fr-FR"/>
              </w:rPr>
            </w:pPr>
            <w:r w:rsidRPr="00E64488">
              <w:rPr>
                <w:rFonts w:eastAsia="Times New Roman" w:cs="Segoe UI"/>
                <w:color w:val="000000"/>
                <w:lang w:val="nl-NL" w:eastAsia="fr-FR"/>
              </w:rPr>
              <w:t xml:space="preserve">Het bedrag van het voorschot wordt berekend aan de hand van volgende percentages op een hieronder bepaalde </w:t>
            </w:r>
            <w:r w:rsidRPr="00E64488">
              <w:rPr>
                <w:rFonts w:eastAsia="Times New Roman" w:cs="Segoe UI"/>
                <w:b/>
                <w:bCs/>
                <w:color w:val="000000"/>
                <w:lang w:val="nl-NL" w:eastAsia="fr-FR"/>
              </w:rPr>
              <w:t>referentiewaarde</w:t>
            </w:r>
            <w:r w:rsidRPr="00E64488">
              <w:rPr>
                <w:rFonts w:eastAsia="Times New Roman" w:cs="Segoe UI"/>
                <w:color w:val="000000"/>
                <w:lang w:val="nl-NL" w:eastAsia="fr-FR"/>
              </w:rPr>
              <w:t>:</w:t>
            </w:r>
            <w:r w:rsidRPr="00E64488">
              <w:rPr>
                <w:rFonts w:ascii="Arial" w:eastAsia="Times New Roman" w:hAnsi="Arial" w:cs="Arial"/>
                <w:color w:val="000000"/>
                <w:lang w:val="nl-NL" w:eastAsia="fr-FR"/>
              </w:rPr>
              <w:t> </w:t>
            </w:r>
            <w:r w:rsidRPr="00E64488">
              <w:rPr>
                <w:rFonts w:eastAsia="Times New Roman" w:cs="Segoe UI"/>
                <w:color w:val="000000"/>
                <w:lang w:val="nl-NL" w:eastAsia="fr-FR"/>
              </w:rPr>
              <w:t> </w:t>
            </w:r>
          </w:p>
          <w:p w14:paraId="0AAAB08C" w14:textId="77777777" w:rsidR="00C07FC2" w:rsidRPr="00E64488" w:rsidRDefault="00C07FC2" w:rsidP="00C07FC2">
            <w:pPr>
              <w:jc w:val="both"/>
              <w:textAlignment w:val="baseline"/>
              <w:rPr>
                <w:rFonts w:eastAsia="Times New Roman" w:cs="Segoe UI"/>
                <w:lang w:val="nl-NL" w:eastAsia="fr-FR"/>
              </w:rPr>
            </w:pPr>
            <w:r w:rsidRPr="00E64488">
              <w:rPr>
                <w:rFonts w:eastAsia="Times New Roman" w:cs="Segoe UI"/>
                <w:color w:val="000000"/>
                <w:lang w:val="nl-NL"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8"/>
              <w:gridCol w:w="4147"/>
              <w:gridCol w:w="2735"/>
            </w:tblGrid>
            <w:tr w:rsidR="00C07FC2" w:rsidRPr="00E64488" w14:paraId="2638B988" w14:textId="77777777" w:rsidTr="00542DE2">
              <w:trPr>
                <w:trHeight w:val="300"/>
              </w:trPr>
              <w:tc>
                <w:tcPr>
                  <w:tcW w:w="1965" w:type="dxa"/>
                  <w:tcBorders>
                    <w:top w:val="single" w:sz="6" w:space="0" w:color="auto"/>
                    <w:left w:val="single" w:sz="6" w:space="0" w:color="auto"/>
                    <w:bottom w:val="single" w:sz="12" w:space="0" w:color="AE89B1"/>
                    <w:right w:val="single" w:sz="6" w:space="0" w:color="BDD6EE"/>
                  </w:tcBorders>
                  <w:shd w:val="clear" w:color="auto" w:fill="auto"/>
                  <w:hideMark/>
                </w:tcPr>
                <w:p w14:paraId="514394D2" w14:textId="77777777" w:rsidR="00C07FC2" w:rsidRPr="00E64488"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b/>
                      <w:bCs/>
                      <w:sz w:val="24"/>
                      <w:szCs w:val="24"/>
                      <w:lang w:val="nl-NL" w:eastAsia="fr-FR"/>
                    </w:rPr>
                  </w:pPr>
                  <w:r w:rsidRPr="00E64488">
                    <w:rPr>
                      <w:rFonts w:eastAsia="Times New Roman" w:cs="Times New Roman"/>
                      <w:b/>
                      <w:bCs/>
                      <w:sz w:val="20"/>
                      <w:szCs w:val="20"/>
                      <w:lang w:val="nl-NL" w:eastAsia="fr-FR"/>
                    </w:rPr>
                    <w:t>Type opdrachtnemer </w:t>
                  </w:r>
                </w:p>
              </w:tc>
              <w:tc>
                <w:tcPr>
                  <w:tcW w:w="4230" w:type="dxa"/>
                  <w:tcBorders>
                    <w:top w:val="single" w:sz="6" w:space="0" w:color="auto"/>
                    <w:left w:val="single" w:sz="6" w:space="0" w:color="BDD6EE"/>
                    <w:bottom w:val="single" w:sz="12" w:space="0" w:color="AE89B1"/>
                    <w:right w:val="single" w:sz="6" w:space="0" w:color="BDD6EE"/>
                  </w:tcBorders>
                  <w:shd w:val="clear" w:color="auto" w:fill="auto"/>
                  <w:hideMark/>
                </w:tcPr>
                <w:p w14:paraId="28B10B57" w14:textId="77777777" w:rsidR="00C07FC2" w:rsidRPr="00E64488"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b/>
                      <w:bCs/>
                      <w:sz w:val="24"/>
                      <w:szCs w:val="24"/>
                      <w:lang w:val="nl-NL" w:eastAsia="fr-FR"/>
                    </w:rPr>
                  </w:pPr>
                  <w:r w:rsidRPr="00E64488">
                    <w:rPr>
                      <w:rFonts w:eastAsia="Times New Roman" w:cs="Times New Roman"/>
                      <w:b/>
                      <w:bCs/>
                      <w:sz w:val="20"/>
                      <w:szCs w:val="20"/>
                      <w:lang w:val="nl-NL" w:eastAsia="fr-FR"/>
                    </w:rPr>
                    <w:t>Kenmerken </w:t>
                  </w:r>
                </w:p>
              </w:tc>
              <w:tc>
                <w:tcPr>
                  <w:tcW w:w="2805" w:type="dxa"/>
                  <w:tcBorders>
                    <w:top w:val="single" w:sz="6" w:space="0" w:color="auto"/>
                    <w:left w:val="single" w:sz="6" w:space="0" w:color="BDD6EE"/>
                    <w:bottom w:val="single" w:sz="12" w:space="0" w:color="AE89B1"/>
                    <w:right w:val="single" w:sz="6" w:space="0" w:color="auto"/>
                  </w:tcBorders>
                  <w:shd w:val="clear" w:color="auto" w:fill="auto"/>
                  <w:hideMark/>
                </w:tcPr>
                <w:p w14:paraId="2B0CD449" w14:textId="77777777" w:rsidR="00C07FC2" w:rsidRPr="00E64488"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b/>
                      <w:bCs/>
                      <w:sz w:val="24"/>
                      <w:szCs w:val="24"/>
                      <w:lang w:val="nl-NL" w:eastAsia="fr-FR"/>
                    </w:rPr>
                  </w:pPr>
                  <w:r w:rsidRPr="00E64488">
                    <w:rPr>
                      <w:rFonts w:eastAsia="Times New Roman" w:cs="Times New Roman"/>
                      <w:b/>
                      <w:bCs/>
                      <w:sz w:val="20"/>
                      <w:szCs w:val="20"/>
                      <w:lang w:val="nl-NL" w:eastAsia="fr-FR"/>
                    </w:rPr>
                    <w:t>Toe te passen percentage* </w:t>
                  </w:r>
                </w:p>
              </w:tc>
            </w:tr>
            <w:tr w:rsidR="00C07FC2" w:rsidRPr="00E64488" w14:paraId="6B41B667" w14:textId="77777777" w:rsidTr="00542DE2">
              <w:trPr>
                <w:trHeight w:val="300"/>
              </w:trPr>
              <w:tc>
                <w:tcPr>
                  <w:tcW w:w="1965" w:type="dxa"/>
                  <w:tcBorders>
                    <w:top w:val="single" w:sz="6" w:space="0" w:color="BDD6EE"/>
                    <w:left w:val="single" w:sz="6" w:space="0" w:color="auto"/>
                    <w:bottom w:val="single" w:sz="6" w:space="0" w:color="BDD6EE"/>
                    <w:right w:val="single" w:sz="6" w:space="0" w:color="BDD6EE"/>
                  </w:tcBorders>
                  <w:shd w:val="clear" w:color="auto" w:fill="auto"/>
                  <w:hideMark/>
                </w:tcPr>
                <w:p w14:paraId="6932550B" w14:textId="77777777" w:rsidR="00C07FC2" w:rsidRPr="00E64488" w:rsidRDefault="00C07FC2" w:rsidP="00C07FC2">
                  <w:pPr>
                    <w:framePr w:hSpace="141" w:wrap="around" w:vAnchor="text" w:hAnchor="text" w:y="1"/>
                    <w:spacing w:after="0" w:line="240" w:lineRule="auto"/>
                    <w:suppressOverlap/>
                    <w:jc w:val="both"/>
                    <w:textAlignment w:val="baseline"/>
                    <w:rPr>
                      <w:rFonts w:ascii="Times New Roman" w:eastAsia="Times New Roman" w:hAnsi="Times New Roman" w:cs="Times New Roman"/>
                      <w:b/>
                      <w:bCs/>
                      <w:sz w:val="24"/>
                      <w:szCs w:val="24"/>
                      <w:lang w:val="nl-NL" w:eastAsia="fr-FR"/>
                    </w:rPr>
                  </w:pPr>
                  <w:r w:rsidRPr="00E64488">
                    <w:rPr>
                      <w:rFonts w:eastAsia="Times New Roman" w:cs="Times New Roman"/>
                      <w:b/>
                      <w:bCs/>
                      <w:sz w:val="20"/>
                      <w:szCs w:val="20"/>
                      <w:u w:val="single"/>
                      <w:lang w:val="nl-NL" w:eastAsia="fr-FR"/>
                    </w:rPr>
                    <w:t>Micro-onderneming :</w:t>
                  </w:r>
                  <w:r w:rsidRPr="00E64488">
                    <w:rPr>
                      <w:rFonts w:eastAsia="Times New Roman" w:cs="Times New Roman"/>
                      <w:b/>
                      <w:bCs/>
                      <w:sz w:val="20"/>
                      <w:szCs w:val="20"/>
                      <w:lang w:val="nl-NL" w:eastAsia="fr-FR"/>
                    </w:rPr>
                    <w:t> </w:t>
                  </w:r>
                </w:p>
              </w:tc>
              <w:tc>
                <w:tcPr>
                  <w:tcW w:w="4230" w:type="dxa"/>
                  <w:tcBorders>
                    <w:top w:val="single" w:sz="6" w:space="0" w:color="BDD6EE"/>
                    <w:left w:val="single" w:sz="6" w:space="0" w:color="BDD6EE"/>
                    <w:bottom w:val="single" w:sz="6" w:space="0" w:color="BDD6EE"/>
                    <w:right w:val="single" w:sz="6" w:space="0" w:color="BDD6EE"/>
                  </w:tcBorders>
                  <w:shd w:val="clear" w:color="auto" w:fill="auto"/>
                  <w:hideMark/>
                </w:tcPr>
                <w:p w14:paraId="4AF58181" w14:textId="77777777" w:rsidR="00C07FC2" w:rsidRPr="00E64488" w:rsidRDefault="00C07FC2" w:rsidP="00C07FC2">
                  <w:pPr>
                    <w:framePr w:hSpace="141" w:wrap="around" w:vAnchor="text" w:hAnchor="text" w:y="1"/>
                    <w:numPr>
                      <w:ilvl w:val="0"/>
                      <w:numId w:val="4"/>
                    </w:numPr>
                    <w:spacing w:after="0" w:line="240" w:lineRule="auto"/>
                    <w:ind w:left="1080" w:firstLine="0"/>
                    <w:suppressOverlap/>
                    <w:jc w:val="both"/>
                    <w:textAlignment w:val="baseline"/>
                    <w:rPr>
                      <w:rFonts w:eastAsia="Times New Roman" w:cs="Times New Roman"/>
                      <w:sz w:val="20"/>
                      <w:szCs w:val="20"/>
                      <w:lang w:val="nl-NL" w:eastAsia="fr-FR"/>
                    </w:rPr>
                  </w:pPr>
                  <w:r w:rsidRPr="00E64488">
                    <w:rPr>
                      <w:rFonts w:eastAsia="Times New Roman" w:cs="Times New Roman"/>
                      <w:sz w:val="20"/>
                      <w:szCs w:val="20"/>
                      <w:lang w:val="nl-NL" w:eastAsia="fr-FR"/>
                    </w:rPr>
                    <w:t>Stelt minder dan 10 personen tewerk</w:t>
                  </w:r>
                </w:p>
                <w:p w14:paraId="47760B07" w14:textId="77777777" w:rsidR="00C07FC2" w:rsidRPr="00E64488" w:rsidRDefault="00C07FC2" w:rsidP="00C07FC2">
                  <w:pPr>
                    <w:framePr w:hSpace="141" w:wrap="around" w:vAnchor="text" w:hAnchor="text" w:y="1"/>
                    <w:numPr>
                      <w:ilvl w:val="0"/>
                      <w:numId w:val="5"/>
                    </w:numPr>
                    <w:spacing w:after="0" w:line="240" w:lineRule="auto"/>
                    <w:ind w:left="1080" w:firstLine="0"/>
                    <w:suppressOverlap/>
                    <w:textAlignment w:val="baseline"/>
                    <w:rPr>
                      <w:rFonts w:eastAsia="Times New Roman" w:cs="Times New Roman"/>
                      <w:sz w:val="20"/>
                      <w:szCs w:val="20"/>
                      <w:lang w:val="nl-NL" w:eastAsia="fr-FR"/>
                    </w:rPr>
                  </w:pPr>
                  <w:r w:rsidRPr="00E64488">
                    <w:rPr>
                      <w:rFonts w:eastAsia="Times New Roman" w:cs="Times New Roman"/>
                      <w:sz w:val="20"/>
                      <w:szCs w:val="20"/>
                      <w:lang w:val="nl-NL" w:eastAsia="fr-FR"/>
                    </w:rPr>
                    <w:t>Jaaromzet of balanstotaal niet hoger dan € 2.000.000. </w:t>
                  </w:r>
                </w:p>
              </w:tc>
              <w:tc>
                <w:tcPr>
                  <w:tcW w:w="2805" w:type="dxa"/>
                  <w:tcBorders>
                    <w:top w:val="single" w:sz="6" w:space="0" w:color="BDD6EE"/>
                    <w:left w:val="single" w:sz="6" w:space="0" w:color="BDD6EE"/>
                    <w:bottom w:val="single" w:sz="6" w:space="0" w:color="BDD6EE"/>
                    <w:right w:val="single" w:sz="6" w:space="0" w:color="auto"/>
                  </w:tcBorders>
                  <w:shd w:val="clear" w:color="auto" w:fill="auto"/>
                  <w:hideMark/>
                </w:tcPr>
                <w:p w14:paraId="1691EB3B" w14:textId="77777777" w:rsidR="00C07FC2" w:rsidRPr="00E64488"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sz w:val="24"/>
                      <w:szCs w:val="24"/>
                      <w:lang w:val="nl-NL" w:eastAsia="fr-FR"/>
                    </w:rPr>
                  </w:pPr>
                  <w:r w:rsidRPr="00E64488">
                    <w:rPr>
                      <w:rFonts w:eastAsia="Times New Roman" w:cs="Times New Roman"/>
                      <w:sz w:val="20"/>
                      <w:szCs w:val="20"/>
                      <w:lang w:val="nl-NL" w:eastAsia="fr-FR"/>
                    </w:rPr>
                    <w:t> </w:t>
                  </w:r>
                </w:p>
                <w:p w14:paraId="76F9E82F" w14:textId="77777777" w:rsidR="00C07FC2" w:rsidRPr="00E64488"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sz w:val="24"/>
                      <w:szCs w:val="24"/>
                      <w:lang w:val="nl-NL" w:eastAsia="fr-FR"/>
                    </w:rPr>
                  </w:pPr>
                  <w:r w:rsidRPr="00E64488">
                    <w:rPr>
                      <w:rFonts w:eastAsia="Times New Roman" w:cs="Times New Roman"/>
                      <w:sz w:val="20"/>
                      <w:szCs w:val="20"/>
                      <w:lang w:val="nl-NL" w:eastAsia="fr-FR"/>
                    </w:rPr>
                    <w:t> </w:t>
                  </w:r>
                </w:p>
                <w:p w14:paraId="6C4D444A" w14:textId="77777777" w:rsidR="00C07FC2" w:rsidRPr="00E64488"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sz w:val="24"/>
                      <w:szCs w:val="24"/>
                      <w:lang w:val="nl-NL" w:eastAsia="fr-FR"/>
                    </w:rPr>
                  </w:pPr>
                  <w:r w:rsidRPr="00E64488">
                    <w:rPr>
                      <w:rFonts w:eastAsia="Times New Roman" w:cs="Times New Roman"/>
                      <w:sz w:val="20"/>
                      <w:szCs w:val="20"/>
                      <w:lang w:val="nl-NL" w:eastAsia="fr-FR"/>
                    </w:rPr>
                    <w:t>20% </w:t>
                  </w:r>
                </w:p>
              </w:tc>
            </w:tr>
            <w:tr w:rsidR="00C07FC2" w:rsidRPr="00E64488" w14:paraId="5B96347E" w14:textId="77777777" w:rsidTr="00542DE2">
              <w:trPr>
                <w:trHeight w:val="300"/>
              </w:trPr>
              <w:tc>
                <w:tcPr>
                  <w:tcW w:w="1965" w:type="dxa"/>
                  <w:tcBorders>
                    <w:top w:val="single" w:sz="6" w:space="0" w:color="BDD6EE"/>
                    <w:left w:val="single" w:sz="6" w:space="0" w:color="auto"/>
                    <w:bottom w:val="single" w:sz="6" w:space="0" w:color="BDD6EE"/>
                    <w:right w:val="single" w:sz="6" w:space="0" w:color="BDD6EE"/>
                  </w:tcBorders>
                  <w:shd w:val="clear" w:color="auto" w:fill="auto"/>
                  <w:hideMark/>
                </w:tcPr>
                <w:p w14:paraId="52FF806F" w14:textId="77777777" w:rsidR="00C07FC2" w:rsidRPr="00E64488" w:rsidRDefault="00C07FC2" w:rsidP="00C07FC2">
                  <w:pPr>
                    <w:framePr w:hSpace="141" w:wrap="around" w:vAnchor="text" w:hAnchor="text" w:y="1"/>
                    <w:spacing w:after="0" w:line="240" w:lineRule="auto"/>
                    <w:suppressOverlap/>
                    <w:jc w:val="both"/>
                    <w:textAlignment w:val="baseline"/>
                    <w:rPr>
                      <w:rFonts w:ascii="Times New Roman" w:eastAsia="Times New Roman" w:hAnsi="Times New Roman" w:cs="Times New Roman"/>
                      <w:b/>
                      <w:bCs/>
                      <w:sz w:val="24"/>
                      <w:szCs w:val="24"/>
                      <w:lang w:val="nl-NL" w:eastAsia="fr-FR"/>
                    </w:rPr>
                  </w:pPr>
                  <w:r w:rsidRPr="00E64488">
                    <w:rPr>
                      <w:rFonts w:eastAsia="Times New Roman" w:cs="Times New Roman"/>
                      <w:b/>
                      <w:bCs/>
                      <w:sz w:val="20"/>
                      <w:szCs w:val="20"/>
                      <w:u w:val="single"/>
                      <w:lang w:val="nl-NL" w:eastAsia="fr-FR"/>
                    </w:rPr>
                    <w:t>Kleine onderneming :</w:t>
                  </w:r>
                  <w:r w:rsidRPr="00E64488">
                    <w:rPr>
                      <w:rFonts w:eastAsia="Times New Roman" w:cs="Times New Roman"/>
                      <w:b/>
                      <w:bCs/>
                      <w:sz w:val="20"/>
                      <w:szCs w:val="20"/>
                      <w:lang w:val="nl-NL" w:eastAsia="fr-FR"/>
                    </w:rPr>
                    <w:t> </w:t>
                  </w:r>
                </w:p>
              </w:tc>
              <w:tc>
                <w:tcPr>
                  <w:tcW w:w="4230" w:type="dxa"/>
                  <w:tcBorders>
                    <w:top w:val="single" w:sz="6" w:space="0" w:color="BDD6EE"/>
                    <w:left w:val="single" w:sz="6" w:space="0" w:color="BDD6EE"/>
                    <w:bottom w:val="single" w:sz="6" w:space="0" w:color="BDD6EE"/>
                    <w:right w:val="single" w:sz="6" w:space="0" w:color="BDD6EE"/>
                  </w:tcBorders>
                  <w:shd w:val="clear" w:color="auto" w:fill="auto"/>
                  <w:hideMark/>
                </w:tcPr>
                <w:p w14:paraId="2EEEF545" w14:textId="77777777" w:rsidR="00C07FC2" w:rsidRPr="00E64488" w:rsidRDefault="00C07FC2" w:rsidP="00C07FC2">
                  <w:pPr>
                    <w:framePr w:hSpace="141" w:wrap="around" w:vAnchor="text" w:hAnchor="text" w:y="1"/>
                    <w:numPr>
                      <w:ilvl w:val="0"/>
                      <w:numId w:val="6"/>
                    </w:numPr>
                    <w:spacing w:after="0" w:line="240" w:lineRule="auto"/>
                    <w:ind w:left="1080" w:firstLine="0"/>
                    <w:suppressOverlap/>
                    <w:jc w:val="both"/>
                    <w:textAlignment w:val="baseline"/>
                    <w:rPr>
                      <w:rFonts w:eastAsia="Times New Roman" w:cs="Times New Roman"/>
                      <w:sz w:val="20"/>
                      <w:szCs w:val="20"/>
                      <w:lang w:val="nl-NL" w:eastAsia="fr-FR"/>
                    </w:rPr>
                  </w:pPr>
                  <w:r w:rsidRPr="00E64488">
                    <w:rPr>
                      <w:rFonts w:eastAsia="Times New Roman" w:cs="Times New Roman"/>
                      <w:sz w:val="20"/>
                      <w:szCs w:val="20"/>
                      <w:lang w:val="nl-NL" w:eastAsia="fr-FR"/>
                    </w:rPr>
                    <w:t> Stelt minder dan 50 personen tewerk </w:t>
                  </w:r>
                </w:p>
                <w:p w14:paraId="204434D4" w14:textId="77777777" w:rsidR="00C07FC2" w:rsidRPr="00E64488" w:rsidRDefault="00C07FC2" w:rsidP="00C07FC2">
                  <w:pPr>
                    <w:framePr w:hSpace="141" w:wrap="around" w:vAnchor="text" w:hAnchor="text" w:y="1"/>
                    <w:numPr>
                      <w:ilvl w:val="0"/>
                      <w:numId w:val="7"/>
                    </w:numPr>
                    <w:spacing w:after="0" w:line="240" w:lineRule="auto"/>
                    <w:ind w:left="1080"/>
                    <w:suppressOverlap/>
                    <w:jc w:val="both"/>
                    <w:textAlignment w:val="baseline"/>
                    <w:rPr>
                      <w:rFonts w:eastAsia="Times New Roman" w:cs="Times New Roman"/>
                      <w:sz w:val="20"/>
                      <w:szCs w:val="20"/>
                      <w:lang w:val="nl-NL" w:eastAsia="fr-FR"/>
                    </w:rPr>
                  </w:pPr>
                  <w:r w:rsidRPr="00E64488">
                    <w:rPr>
                      <w:rFonts w:eastAsia="Times New Roman" w:cs="Times New Roman"/>
                      <w:sz w:val="20"/>
                      <w:szCs w:val="20"/>
                      <w:lang w:val="nl-NL" w:eastAsia="fr-FR"/>
                    </w:rPr>
                    <w:t>Jaaromzet of balanstotaal niet hoger dan € 10.000.000</w:t>
                  </w:r>
                  <w:r w:rsidRPr="00E64488" w:rsidDel="005D1C4D">
                    <w:rPr>
                      <w:rFonts w:eastAsia="Times New Roman" w:cs="Times New Roman"/>
                      <w:sz w:val="20"/>
                      <w:szCs w:val="20"/>
                      <w:lang w:val="nl-NL" w:eastAsia="fr-FR"/>
                    </w:rPr>
                    <w:t xml:space="preserve"> </w:t>
                  </w:r>
                  <w:r w:rsidRPr="00E64488">
                    <w:rPr>
                      <w:rFonts w:eastAsia="Times New Roman" w:cs="Times New Roman"/>
                      <w:sz w:val="20"/>
                      <w:szCs w:val="20"/>
                      <w:lang w:val="nl-NL" w:eastAsia="fr-FR"/>
                    </w:rPr>
                    <w:t> </w:t>
                  </w:r>
                </w:p>
              </w:tc>
              <w:tc>
                <w:tcPr>
                  <w:tcW w:w="2805" w:type="dxa"/>
                  <w:tcBorders>
                    <w:top w:val="single" w:sz="6" w:space="0" w:color="BDD6EE"/>
                    <w:left w:val="single" w:sz="6" w:space="0" w:color="BDD6EE"/>
                    <w:bottom w:val="single" w:sz="6" w:space="0" w:color="BDD6EE"/>
                    <w:right w:val="single" w:sz="6" w:space="0" w:color="auto"/>
                  </w:tcBorders>
                  <w:shd w:val="clear" w:color="auto" w:fill="auto"/>
                  <w:hideMark/>
                </w:tcPr>
                <w:p w14:paraId="73AB7DE8" w14:textId="77777777" w:rsidR="00C07FC2" w:rsidRPr="00E64488"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sz w:val="24"/>
                      <w:szCs w:val="24"/>
                      <w:lang w:val="nl-NL" w:eastAsia="fr-FR"/>
                    </w:rPr>
                  </w:pPr>
                  <w:r w:rsidRPr="00E64488">
                    <w:rPr>
                      <w:rFonts w:eastAsia="Times New Roman" w:cs="Times New Roman"/>
                      <w:sz w:val="20"/>
                      <w:szCs w:val="20"/>
                      <w:lang w:val="nl-NL" w:eastAsia="fr-FR"/>
                    </w:rPr>
                    <w:t> </w:t>
                  </w:r>
                </w:p>
                <w:p w14:paraId="150A25C5" w14:textId="77777777" w:rsidR="00C07FC2" w:rsidRPr="00E64488"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sz w:val="24"/>
                      <w:szCs w:val="24"/>
                      <w:lang w:val="nl-NL" w:eastAsia="fr-FR"/>
                    </w:rPr>
                  </w:pPr>
                  <w:r w:rsidRPr="00E64488">
                    <w:rPr>
                      <w:rFonts w:eastAsia="Times New Roman" w:cs="Times New Roman"/>
                      <w:sz w:val="20"/>
                      <w:szCs w:val="20"/>
                      <w:lang w:val="nl-NL" w:eastAsia="fr-FR"/>
                    </w:rPr>
                    <w:t> </w:t>
                  </w:r>
                </w:p>
                <w:p w14:paraId="4157AD0A" w14:textId="77777777" w:rsidR="00C07FC2" w:rsidRPr="00E64488"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sz w:val="24"/>
                      <w:szCs w:val="24"/>
                      <w:lang w:val="nl-NL" w:eastAsia="fr-FR"/>
                    </w:rPr>
                  </w:pPr>
                  <w:r w:rsidRPr="00E64488">
                    <w:rPr>
                      <w:rFonts w:eastAsia="Times New Roman" w:cs="Times New Roman"/>
                      <w:sz w:val="20"/>
                      <w:szCs w:val="20"/>
                      <w:lang w:val="nl-NL" w:eastAsia="fr-FR"/>
                    </w:rPr>
                    <w:t>10% </w:t>
                  </w:r>
                </w:p>
              </w:tc>
            </w:tr>
            <w:tr w:rsidR="00C07FC2" w:rsidRPr="00C07FC2" w14:paraId="753A40F3" w14:textId="77777777" w:rsidTr="00542DE2">
              <w:trPr>
                <w:trHeight w:val="300"/>
              </w:trPr>
              <w:tc>
                <w:tcPr>
                  <w:tcW w:w="1965" w:type="dxa"/>
                  <w:tcBorders>
                    <w:top w:val="single" w:sz="6" w:space="0" w:color="BDD6EE"/>
                    <w:left w:val="single" w:sz="6" w:space="0" w:color="auto"/>
                    <w:bottom w:val="single" w:sz="6" w:space="0" w:color="auto"/>
                    <w:right w:val="single" w:sz="6" w:space="0" w:color="BDD6EE"/>
                  </w:tcBorders>
                  <w:shd w:val="clear" w:color="auto" w:fill="auto"/>
                  <w:hideMark/>
                </w:tcPr>
                <w:p w14:paraId="2C68BA23" w14:textId="77777777" w:rsidR="00C07FC2" w:rsidRPr="00E64488" w:rsidRDefault="00C07FC2" w:rsidP="00C07FC2">
                  <w:pPr>
                    <w:framePr w:hSpace="141" w:wrap="around" w:vAnchor="text" w:hAnchor="text" w:y="1"/>
                    <w:spacing w:after="0" w:line="240" w:lineRule="auto"/>
                    <w:suppressOverlap/>
                    <w:jc w:val="both"/>
                    <w:textAlignment w:val="baseline"/>
                    <w:rPr>
                      <w:rFonts w:ascii="Times New Roman" w:eastAsia="Times New Roman" w:hAnsi="Times New Roman" w:cs="Times New Roman"/>
                      <w:b/>
                      <w:bCs/>
                      <w:sz w:val="24"/>
                      <w:szCs w:val="24"/>
                      <w:lang w:val="nl-NL" w:eastAsia="fr-FR"/>
                    </w:rPr>
                  </w:pPr>
                  <w:r w:rsidRPr="00E64488">
                    <w:rPr>
                      <w:rFonts w:eastAsia="Times New Roman" w:cs="Times New Roman"/>
                      <w:b/>
                      <w:bCs/>
                      <w:sz w:val="20"/>
                      <w:szCs w:val="20"/>
                      <w:u w:val="single"/>
                      <w:lang w:val="nl-NL" w:eastAsia="fr-FR"/>
                    </w:rPr>
                    <w:t>Middelgrote onderneming :</w:t>
                  </w:r>
                  <w:r w:rsidRPr="00E64488">
                    <w:rPr>
                      <w:rFonts w:eastAsia="Times New Roman" w:cs="Times New Roman"/>
                      <w:b/>
                      <w:bCs/>
                      <w:sz w:val="20"/>
                      <w:szCs w:val="20"/>
                      <w:lang w:val="nl-NL" w:eastAsia="fr-FR"/>
                    </w:rPr>
                    <w:t> </w:t>
                  </w:r>
                </w:p>
              </w:tc>
              <w:tc>
                <w:tcPr>
                  <w:tcW w:w="4230" w:type="dxa"/>
                  <w:tcBorders>
                    <w:top w:val="single" w:sz="6" w:space="0" w:color="BDD6EE"/>
                    <w:left w:val="single" w:sz="6" w:space="0" w:color="BDD6EE"/>
                    <w:bottom w:val="single" w:sz="6" w:space="0" w:color="auto"/>
                    <w:right w:val="single" w:sz="6" w:space="0" w:color="BDD6EE"/>
                  </w:tcBorders>
                  <w:shd w:val="clear" w:color="auto" w:fill="auto"/>
                  <w:hideMark/>
                </w:tcPr>
                <w:p w14:paraId="48B9ADED" w14:textId="77777777" w:rsidR="00C07FC2" w:rsidRPr="00E64488" w:rsidRDefault="00C07FC2" w:rsidP="00C07FC2">
                  <w:pPr>
                    <w:framePr w:hSpace="141" w:wrap="around" w:vAnchor="text" w:hAnchor="text" w:y="1"/>
                    <w:numPr>
                      <w:ilvl w:val="0"/>
                      <w:numId w:val="8"/>
                    </w:numPr>
                    <w:spacing w:after="0" w:line="240" w:lineRule="auto"/>
                    <w:ind w:left="1080"/>
                    <w:suppressOverlap/>
                    <w:jc w:val="both"/>
                    <w:textAlignment w:val="baseline"/>
                    <w:rPr>
                      <w:rFonts w:eastAsia="Times New Roman" w:cs="Times New Roman"/>
                      <w:sz w:val="20"/>
                      <w:szCs w:val="20"/>
                      <w:lang w:val="nl-NL" w:eastAsia="fr-FR"/>
                    </w:rPr>
                  </w:pPr>
                  <w:r w:rsidRPr="00E64488">
                    <w:rPr>
                      <w:rFonts w:eastAsia="Times New Roman" w:cs="Times New Roman"/>
                      <w:sz w:val="20"/>
                      <w:szCs w:val="20"/>
                      <w:lang w:val="nl-NL" w:eastAsia="fr-FR"/>
                    </w:rPr>
                    <w:t>Stelt minder dan 250 personen tewerk</w:t>
                  </w:r>
                </w:p>
                <w:p w14:paraId="16523571" w14:textId="77777777" w:rsidR="00C07FC2" w:rsidRPr="00E64488" w:rsidRDefault="00C07FC2" w:rsidP="00C07FC2">
                  <w:pPr>
                    <w:framePr w:hSpace="141" w:wrap="around" w:vAnchor="text" w:hAnchor="text" w:y="1"/>
                    <w:numPr>
                      <w:ilvl w:val="0"/>
                      <w:numId w:val="9"/>
                    </w:numPr>
                    <w:spacing w:after="0" w:line="240" w:lineRule="auto"/>
                    <w:ind w:left="1080"/>
                    <w:suppressOverlap/>
                    <w:jc w:val="both"/>
                    <w:textAlignment w:val="baseline"/>
                    <w:rPr>
                      <w:rFonts w:eastAsia="Times New Roman" w:cs="Times New Roman"/>
                      <w:sz w:val="20"/>
                      <w:szCs w:val="20"/>
                      <w:lang w:val="nl-NL" w:eastAsia="fr-FR"/>
                    </w:rPr>
                  </w:pPr>
                  <w:r w:rsidRPr="00E64488">
                    <w:rPr>
                      <w:rFonts w:eastAsia="Times New Roman" w:cs="Times New Roman"/>
                      <w:sz w:val="20"/>
                      <w:szCs w:val="20"/>
                      <w:lang w:val="nl-NL" w:eastAsia="fr-FR"/>
                    </w:rPr>
                    <w:t>Jaaromzet niet hoger dan € 50.000.000 of balanstotaal niet hoger dan € 43.000.000</w:t>
                  </w:r>
                </w:p>
              </w:tc>
              <w:tc>
                <w:tcPr>
                  <w:tcW w:w="2805" w:type="dxa"/>
                  <w:tcBorders>
                    <w:top w:val="single" w:sz="6" w:space="0" w:color="BDD6EE"/>
                    <w:left w:val="single" w:sz="6" w:space="0" w:color="BDD6EE"/>
                    <w:bottom w:val="single" w:sz="6" w:space="0" w:color="auto"/>
                    <w:right w:val="single" w:sz="6" w:space="0" w:color="auto"/>
                  </w:tcBorders>
                  <w:shd w:val="clear" w:color="auto" w:fill="auto"/>
                  <w:hideMark/>
                </w:tcPr>
                <w:p w14:paraId="6AD8E972" w14:textId="77777777" w:rsidR="00C07FC2" w:rsidRPr="00E64488" w:rsidRDefault="00C07FC2" w:rsidP="00C07FC2">
                  <w:pPr>
                    <w:framePr w:hSpace="141" w:wrap="around" w:vAnchor="text" w:hAnchor="text" w:y="1"/>
                    <w:spacing w:after="0" w:line="240" w:lineRule="auto"/>
                    <w:suppressOverlap/>
                    <w:jc w:val="both"/>
                    <w:textAlignment w:val="baseline"/>
                    <w:rPr>
                      <w:rFonts w:ascii="Times New Roman" w:eastAsia="Times New Roman" w:hAnsi="Times New Roman" w:cs="Times New Roman"/>
                      <w:sz w:val="24"/>
                      <w:szCs w:val="24"/>
                      <w:lang w:val="nl-NL" w:eastAsia="fr-FR"/>
                    </w:rPr>
                  </w:pPr>
                  <w:r w:rsidRPr="00E64488">
                    <w:rPr>
                      <w:rFonts w:eastAsia="Times New Roman" w:cs="Times New Roman"/>
                      <w:sz w:val="20"/>
                      <w:szCs w:val="20"/>
                      <w:lang w:val="nl-NL" w:eastAsia="fr-FR"/>
                    </w:rPr>
                    <w:t> </w:t>
                  </w:r>
                </w:p>
                <w:p w14:paraId="1E809980" w14:textId="77777777" w:rsidR="00C07FC2" w:rsidRPr="00E64488" w:rsidRDefault="00C07FC2" w:rsidP="00C07FC2">
                  <w:pPr>
                    <w:framePr w:hSpace="141" w:wrap="around" w:vAnchor="text" w:hAnchor="text" w:y="1"/>
                    <w:spacing w:after="0" w:line="240" w:lineRule="auto"/>
                    <w:suppressOverlap/>
                    <w:textAlignment w:val="baseline"/>
                    <w:rPr>
                      <w:rFonts w:ascii="Times New Roman" w:eastAsia="Times New Roman" w:hAnsi="Times New Roman" w:cs="Times New Roman"/>
                      <w:sz w:val="24"/>
                      <w:szCs w:val="24"/>
                      <w:lang w:val="nl-NL" w:eastAsia="fr-FR"/>
                    </w:rPr>
                  </w:pPr>
                  <w:r w:rsidRPr="00E64488">
                    <w:rPr>
                      <w:rFonts w:eastAsia="Times New Roman" w:cs="Times New Roman"/>
                      <w:sz w:val="20"/>
                      <w:szCs w:val="20"/>
                      <w:lang w:val="nl-NL" w:eastAsia="fr-FR"/>
                    </w:rPr>
                    <w:t> </w:t>
                  </w:r>
                </w:p>
                <w:p w14:paraId="468D8A4F" w14:textId="77777777" w:rsidR="00C07FC2" w:rsidRPr="00E64488"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sz w:val="24"/>
                      <w:szCs w:val="24"/>
                      <w:lang w:val="nl-NL" w:eastAsia="fr-FR"/>
                    </w:rPr>
                  </w:pPr>
                  <w:r w:rsidRPr="00E64488">
                    <w:rPr>
                      <w:rFonts w:eastAsia="Times New Roman" w:cs="Times New Roman"/>
                      <w:sz w:val="20"/>
                      <w:szCs w:val="20"/>
                      <w:lang w:val="nl-NL" w:eastAsia="fr-FR"/>
                    </w:rPr>
                    <w:t> </w:t>
                  </w:r>
                </w:p>
                <w:p w14:paraId="3EFFC520" w14:textId="77777777" w:rsidR="00C07FC2" w:rsidRPr="00E64488" w:rsidRDefault="00C07FC2" w:rsidP="00C07FC2">
                  <w:pPr>
                    <w:framePr w:hSpace="141" w:wrap="around" w:vAnchor="text" w:hAnchor="text" w:y="1"/>
                    <w:spacing w:after="0" w:line="240" w:lineRule="auto"/>
                    <w:suppressOverlap/>
                    <w:jc w:val="center"/>
                    <w:textAlignment w:val="baseline"/>
                    <w:rPr>
                      <w:rFonts w:ascii="Times New Roman" w:eastAsia="Times New Roman" w:hAnsi="Times New Roman" w:cs="Times New Roman"/>
                      <w:sz w:val="24"/>
                      <w:szCs w:val="24"/>
                      <w:lang w:val="nl-NL" w:eastAsia="fr-FR"/>
                    </w:rPr>
                  </w:pPr>
                  <w:r w:rsidRPr="00E64488">
                    <w:rPr>
                      <w:rFonts w:eastAsia="Times New Roman" w:cs="Times New Roman"/>
                      <w:sz w:val="20"/>
                      <w:szCs w:val="20"/>
                      <w:lang w:val="nl-NL" w:eastAsia="fr-FR"/>
                    </w:rPr>
                    <w:t>5% </w:t>
                  </w:r>
                </w:p>
              </w:tc>
            </w:tr>
          </w:tbl>
          <w:p w14:paraId="56DAB2CC" w14:textId="77777777" w:rsidR="00C07FC2" w:rsidRPr="00E64488" w:rsidRDefault="00C07FC2" w:rsidP="00C07FC2">
            <w:pPr>
              <w:jc w:val="both"/>
              <w:textAlignment w:val="baseline"/>
              <w:rPr>
                <w:rFonts w:ascii="Segoe UI" w:eastAsia="Times New Roman" w:hAnsi="Segoe UI" w:cs="Segoe UI"/>
                <w:sz w:val="18"/>
                <w:szCs w:val="18"/>
                <w:lang w:val="nl-NL" w:eastAsia="fr-FR"/>
              </w:rPr>
            </w:pPr>
            <w:r w:rsidRPr="00E64488">
              <w:rPr>
                <w:rFonts w:eastAsia="Times New Roman" w:cs="Segoe UI"/>
                <w:color w:val="000000"/>
                <w:sz w:val="20"/>
                <w:szCs w:val="20"/>
                <w:lang w:val="nl-NL" w:eastAsia="fr-FR"/>
              </w:rPr>
              <w:t> </w:t>
            </w:r>
          </w:p>
          <w:p w14:paraId="0354C6A8" w14:textId="0195BDC2" w:rsidR="00C07FC2" w:rsidRDefault="00C07FC2" w:rsidP="00C07FC2">
            <w:pPr>
              <w:jc w:val="right"/>
              <w:textAlignment w:val="baseline"/>
              <w:rPr>
                <w:rFonts w:ascii="Arial" w:eastAsia="Times New Roman" w:hAnsi="Arial" w:cs="Arial"/>
                <w:color w:val="000000"/>
                <w:sz w:val="20"/>
                <w:szCs w:val="20"/>
                <w:lang w:val="nl-NL" w:eastAsia="fr-FR"/>
              </w:rPr>
            </w:pPr>
            <w:r w:rsidRPr="00E64488">
              <w:rPr>
                <w:rFonts w:eastAsia="Times New Roman" w:cs="Segoe UI"/>
                <w:color w:val="000000"/>
                <w:sz w:val="20"/>
                <w:szCs w:val="20"/>
                <w:lang w:val="nl-NL" w:eastAsia="fr-FR"/>
              </w:rPr>
              <w:t>*</w:t>
            </w:r>
            <w:r w:rsidRPr="00E64488">
              <w:rPr>
                <w:rFonts w:eastAsia="Calibri" w:cs="Times New Roman"/>
                <w:lang w:val="nl-NL"/>
              </w:rPr>
              <w:t xml:space="preserve"> </w:t>
            </w:r>
            <w:r w:rsidRPr="00E64488">
              <w:rPr>
                <w:rFonts w:eastAsia="Times New Roman" w:cs="Segoe UI"/>
                <w:color w:val="000000"/>
                <w:sz w:val="20"/>
                <w:szCs w:val="20"/>
                <w:lang w:val="nl-NL" w:eastAsia="fr-FR"/>
              </w:rPr>
              <w:t>behalve in de gevallen bedoeld in artikel 12/4, § 2.</w:t>
            </w:r>
            <w:r w:rsidRPr="00E64488">
              <w:rPr>
                <w:rFonts w:ascii="Arial" w:eastAsia="Times New Roman" w:hAnsi="Arial" w:cs="Arial"/>
                <w:color w:val="000000"/>
                <w:sz w:val="20"/>
                <w:szCs w:val="20"/>
                <w:lang w:val="nl-NL" w:eastAsia="fr-FR"/>
              </w:rPr>
              <w:t>  </w:t>
            </w:r>
          </w:p>
          <w:p w14:paraId="1F0A1427" w14:textId="6655D4A6" w:rsidR="00C07FC2" w:rsidRPr="00E64488" w:rsidRDefault="00C07FC2" w:rsidP="00C07FC2">
            <w:pPr>
              <w:textAlignment w:val="baseline"/>
              <w:rPr>
                <w:rFonts w:ascii="Segoe UI" w:eastAsia="Times New Roman" w:hAnsi="Segoe UI" w:cs="Segoe UI"/>
                <w:sz w:val="18"/>
                <w:szCs w:val="18"/>
                <w:lang w:val="nl-NL" w:eastAsia="fr-FR"/>
              </w:rPr>
            </w:pPr>
            <w:r w:rsidRPr="00E64488">
              <w:rPr>
                <w:rFonts w:eastAsia="Times New Roman" w:cs="Segoe UI"/>
                <w:color w:val="000000"/>
                <w:sz w:val="20"/>
                <w:szCs w:val="20"/>
                <w:lang w:val="nl-NL" w:eastAsia="fr-FR"/>
              </w:rPr>
              <w:t> </w:t>
            </w:r>
          </w:p>
          <w:p w14:paraId="60B3E00D" w14:textId="77777777" w:rsidR="00C07FC2" w:rsidRPr="00E64488" w:rsidRDefault="00C07FC2" w:rsidP="00C07FC2">
            <w:pPr>
              <w:textAlignment w:val="baseline"/>
              <w:rPr>
                <w:rFonts w:ascii="Segoe UI" w:eastAsia="Times New Roman" w:hAnsi="Segoe UI" w:cs="Segoe UI"/>
                <w:sz w:val="18"/>
                <w:szCs w:val="18"/>
                <w:lang w:val="nl-NL" w:eastAsia="fr-FR"/>
              </w:rPr>
            </w:pPr>
            <w:r w:rsidRPr="00E64488">
              <w:rPr>
                <w:rFonts w:eastAsia="Times New Roman" w:cs="Segoe UI"/>
                <w:color w:val="000000"/>
                <w:sz w:val="20"/>
                <w:szCs w:val="20"/>
                <w:lang w:val="nl-NL" w:eastAsia="fr-FR"/>
              </w:rPr>
              <w:t> </w:t>
            </w:r>
          </w:p>
          <w:p w14:paraId="6FA7424A" w14:textId="77777777" w:rsidR="00C07FC2" w:rsidRPr="00E64488" w:rsidRDefault="00C07FC2" w:rsidP="00C07FC2">
            <w:pPr>
              <w:jc w:val="both"/>
              <w:textAlignment w:val="baseline"/>
              <w:rPr>
                <w:rFonts w:eastAsia="Times New Roman" w:cs="Segoe UI"/>
                <w:lang w:val="nl-NL" w:eastAsia="fr-FR"/>
              </w:rPr>
            </w:pPr>
            <w:r w:rsidRPr="00E64488">
              <w:rPr>
                <w:rFonts w:eastAsia="Times New Roman" w:cs="Segoe UI"/>
                <w:lang w:val="nl-NL" w:eastAsia="fr-FR"/>
              </w:rPr>
              <w:t xml:space="preserve">Indien de opdracht wordt gegund aan een combinatie van ondernemers bestaande uit </w:t>
            </w:r>
            <w:proofErr w:type="spellStart"/>
            <w:r w:rsidRPr="00E64488">
              <w:rPr>
                <w:rFonts w:eastAsia="Times New Roman" w:cs="Segoe UI"/>
                <w:lang w:val="nl-NL" w:eastAsia="fr-FR"/>
              </w:rPr>
              <w:t>KMO’s</w:t>
            </w:r>
            <w:proofErr w:type="spellEnd"/>
            <w:r w:rsidRPr="00E64488">
              <w:rPr>
                <w:rFonts w:eastAsia="Times New Roman" w:cs="Segoe UI"/>
                <w:lang w:val="nl-NL" w:eastAsia="fr-FR"/>
              </w:rPr>
              <w:t xml:space="preserve"> van verschillende grootte, wordt het percentage toegepast dat geldt voor de grootste KMO binnen de combinatie.</w:t>
            </w:r>
          </w:p>
          <w:p w14:paraId="7EA6FC7A" w14:textId="77777777" w:rsidR="00C07FC2" w:rsidRPr="00E64488" w:rsidRDefault="00C07FC2" w:rsidP="00C07FC2">
            <w:pPr>
              <w:jc w:val="both"/>
              <w:textAlignment w:val="baseline"/>
              <w:rPr>
                <w:rFonts w:eastAsia="Times New Roman" w:cs="Segoe UI"/>
                <w:lang w:val="nl-NL" w:eastAsia="fr-FR"/>
              </w:rPr>
            </w:pPr>
            <w:r w:rsidRPr="00E64488">
              <w:rPr>
                <w:rFonts w:eastAsia="Times New Roman" w:cs="Segoe UI"/>
                <w:lang w:val="nl-NL" w:eastAsia="fr-FR"/>
              </w:rPr>
              <w:t>Bijvoorbeeld: bij een combinatie bestaande uit een micro-onderneming en een middelgrote onderneming, wordt het percentage toegepast dat geldt voor middelgrote ondernemingen.</w:t>
            </w:r>
          </w:p>
          <w:p w14:paraId="6730CE3A" w14:textId="77777777" w:rsidR="00C07FC2" w:rsidRPr="00E64488" w:rsidRDefault="00C07FC2" w:rsidP="00C07FC2">
            <w:pPr>
              <w:textAlignment w:val="baseline"/>
              <w:rPr>
                <w:rFonts w:ascii="Segoe UI" w:eastAsia="Times New Roman" w:hAnsi="Segoe UI" w:cs="Segoe UI"/>
                <w:lang w:val="nl-NL" w:eastAsia="fr-FR"/>
              </w:rPr>
            </w:pPr>
          </w:p>
          <w:p w14:paraId="5664754A" w14:textId="77777777" w:rsidR="00C07FC2" w:rsidRPr="00E64488" w:rsidRDefault="00C07FC2" w:rsidP="00C07FC2">
            <w:pPr>
              <w:jc w:val="both"/>
              <w:textAlignment w:val="baseline"/>
              <w:rPr>
                <w:rFonts w:ascii="Segoe UI" w:eastAsia="Times New Roman" w:hAnsi="Segoe UI" w:cs="Segoe UI"/>
                <w:highlight w:val="yellow"/>
                <w:lang w:val="nl-NL" w:eastAsia="fr-FR"/>
              </w:rPr>
            </w:pPr>
            <w:r w:rsidRPr="00E64488">
              <w:rPr>
                <w:rFonts w:eastAsia="Times New Roman" w:cs="Times New Roman"/>
                <w:b/>
                <w:bCs/>
                <w:color w:val="000000"/>
                <w:lang w:val="nl-NL" w:eastAsia="fr-FR"/>
              </w:rPr>
              <w:t xml:space="preserve">Aangezien de opdracht van onbepaalde duur is, is de referentiewaarde </w:t>
            </w:r>
            <w:r w:rsidRPr="00E64488">
              <w:rPr>
                <w:rFonts w:eastAsia="Times New Roman" w:cs="Segoe UI"/>
                <w:color w:val="000000"/>
                <w:sz w:val="20"/>
                <w:szCs w:val="20"/>
                <w:lang w:val="nl-NL" w:eastAsia="fr-FR"/>
              </w:rPr>
              <w:t>waarop het percentage zal worden toegepast</w:t>
            </w:r>
            <w:r w:rsidRPr="00E64488" w:rsidDel="00B66926">
              <w:rPr>
                <w:rFonts w:eastAsia="Times New Roman" w:cs="Times New Roman"/>
                <w:color w:val="000000"/>
                <w:lang w:val="nl-NL" w:eastAsia="fr-FR"/>
              </w:rPr>
              <w:t xml:space="preserve"> </w:t>
            </w:r>
            <w:r w:rsidRPr="00E64488">
              <w:rPr>
                <w:rFonts w:eastAsia="Calibri" w:cs="Times New Roman"/>
                <w:b/>
                <w:i/>
                <w:color w:val="3E5B7B"/>
                <w:lang w:val="nl-NL" w:eastAsia="fr-FR"/>
              </w:rPr>
              <w:t>[vul het bedrag in op basis van de berekening in het kader hieronder]</w:t>
            </w:r>
          </w:p>
          <w:p w14:paraId="66F47923" w14:textId="77777777" w:rsidR="00C07FC2" w:rsidRPr="00E64488" w:rsidRDefault="00C07FC2" w:rsidP="00C07FC2">
            <w:pPr>
              <w:spacing w:after="200"/>
              <w:jc w:val="both"/>
              <w:rPr>
                <w:rFonts w:eastAsia="Calibri" w:cs="Times New Roman"/>
                <w:lang w:val="nl-NL" w:eastAsia="fr-FR"/>
              </w:rPr>
            </w:pPr>
          </w:p>
          <w:p w14:paraId="4BD82B13" w14:textId="77777777" w:rsidR="00C07FC2" w:rsidRPr="00E64488" w:rsidRDefault="00C07FC2" w:rsidP="00C07FC2">
            <w:pPr>
              <w:pBdr>
                <w:top w:val="single" w:sz="4" w:space="1" w:color="E5004D"/>
                <w:left w:val="single" w:sz="4" w:space="4" w:color="E5004D"/>
                <w:bottom w:val="single" w:sz="4" w:space="1" w:color="E5004D"/>
                <w:right w:val="single" w:sz="4" w:space="4" w:color="E5004D"/>
              </w:pBdr>
              <w:spacing w:after="120"/>
              <w:rPr>
                <w:rFonts w:eastAsia="Calibri" w:cs="Times New Roman"/>
                <w:b/>
                <w:i/>
                <w:color w:val="E5004D"/>
                <w:u w:val="single"/>
                <w:lang w:val="nl-NL"/>
              </w:rPr>
            </w:pPr>
            <w:r w:rsidRPr="00E64488">
              <w:rPr>
                <w:rFonts w:eastAsia="Calibri" w:cs="Times New Roman"/>
                <w:b/>
                <w:i/>
                <w:color w:val="E5004D"/>
                <w:u w:val="single"/>
                <w:lang w:val="nl-NL"/>
              </w:rPr>
              <w:t>Geheugensteun :</w:t>
            </w:r>
          </w:p>
          <w:p w14:paraId="3EF95F4E" w14:textId="77777777" w:rsidR="00C07FC2" w:rsidRPr="00E64488" w:rsidRDefault="00C07FC2" w:rsidP="00C07FC2">
            <w:pPr>
              <w:pBdr>
                <w:top w:val="single" w:sz="4" w:space="1" w:color="E5004D"/>
                <w:left w:val="single" w:sz="4" w:space="4" w:color="E5004D"/>
                <w:bottom w:val="single" w:sz="4" w:space="1" w:color="E5004D"/>
                <w:right w:val="single" w:sz="4" w:space="4" w:color="E5004D"/>
              </w:pBdr>
              <w:spacing w:after="200"/>
              <w:jc w:val="both"/>
              <w:rPr>
                <w:rFonts w:eastAsia="Calibri" w:cs="Times New Roman"/>
                <w:b/>
                <w:i/>
                <w:color w:val="E5004D"/>
                <w:lang w:val="nl-NL"/>
              </w:rPr>
            </w:pPr>
            <w:r w:rsidRPr="00E64488">
              <w:rPr>
                <w:rFonts w:eastAsia="Calibri" w:cs="Times New Roman"/>
                <w:b/>
                <w:i/>
                <w:color w:val="E5004D"/>
                <w:lang w:val="nl-NL"/>
              </w:rPr>
              <w:t xml:space="preserve">Om de referentiewaarde te bepalen, dient het bedrag van de honoraria te worden genomen, </w:t>
            </w:r>
            <w:r w:rsidRPr="00E64488">
              <w:rPr>
                <w:rFonts w:eastAsia="Calibri" w:cs="Times New Roman"/>
                <w:b/>
                <w:i/>
                <w:color w:val="E5004D"/>
                <w:u w:val="single"/>
                <w:lang w:val="nl-NL"/>
              </w:rPr>
              <w:t>alle taksen inbegrepen</w:t>
            </w:r>
            <w:r w:rsidRPr="00E64488">
              <w:rPr>
                <w:rFonts w:eastAsia="Calibri" w:cs="Times New Roman"/>
                <w:b/>
                <w:i/>
                <w:color w:val="E5004D"/>
                <w:lang w:val="nl-NL"/>
              </w:rPr>
              <w:t>, gedeeld door de geraamde duur van de opdracht in jaren, zonder rekening te houden met de voorwaardelijke schijven of verlengingen.</w:t>
            </w:r>
            <w:r w:rsidRPr="00E64488">
              <w:rPr>
                <w:rFonts w:eastAsia="Calibri" w:cs="Times New Roman"/>
                <w:b/>
                <w:i/>
                <w:color w:val="E5004D"/>
                <w:lang w:val="nl-NL"/>
              </w:rPr>
              <w:br/>
            </w:r>
          </w:p>
          <w:p w14:paraId="2DA82C3F" w14:textId="77777777" w:rsidR="00C07FC2" w:rsidRDefault="00C07FC2" w:rsidP="00C07FC2">
            <w:pPr>
              <w:jc w:val="both"/>
              <w:textAlignment w:val="baseline"/>
              <w:rPr>
                <w:rFonts w:eastAsia="Times New Roman" w:cs="Segoe UI"/>
                <w:color w:val="000000"/>
                <w:lang w:val="nl-NL" w:eastAsia="fr-FR"/>
              </w:rPr>
            </w:pPr>
          </w:p>
          <w:p w14:paraId="22630D99" w14:textId="77777777" w:rsidR="00C07FC2" w:rsidRDefault="00C07FC2" w:rsidP="00C07FC2">
            <w:pPr>
              <w:jc w:val="both"/>
              <w:textAlignment w:val="baseline"/>
              <w:rPr>
                <w:rFonts w:eastAsia="Times New Roman" w:cs="Segoe UI"/>
                <w:color w:val="000000"/>
                <w:lang w:val="nl-NL" w:eastAsia="fr-FR"/>
              </w:rPr>
            </w:pPr>
          </w:p>
          <w:p w14:paraId="7FCA0049" w14:textId="61E17C1B" w:rsidR="00C07FC2" w:rsidRPr="00E64488" w:rsidRDefault="00C07FC2" w:rsidP="00C07FC2">
            <w:pPr>
              <w:jc w:val="both"/>
              <w:textAlignment w:val="baseline"/>
              <w:rPr>
                <w:rFonts w:eastAsia="Times New Roman" w:cs="Segoe UI"/>
                <w:lang w:val="nl-NL" w:eastAsia="fr-FR"/>
              </w:rPr>
            </w:pPr>
            <w:r w:rsidRPr="00E64488">
              <w:rPr>
                <w:rFonts w:eastAsia="Times New Roman" w:cs="Segoe UI"/>
                <w:color w:val="000000"/>
                <w:lang w:val="nl-NL" w:eastAsia="fr-FR"/>
              </w:rPr>
              <w:t xml:space="preserve">De toepassing van deze nieuwe regels mag </w:t>
            </w:r>
            <w:r w:rsidRPr="00E64488">
              <w:rPr>
                <w:rFonts w:eastAsia="Times New Roman" w:cs="Segoe UI"/>
                <w:b/>
                <w:bCs/>
                <w:color w:val="000000"/>
                <w:lang w:val="nl-NL" w:eastAsia="fr-FR"/>
              </w:rPr>
              <w:t>nooit</w:t>
            </w:r>
            <w:r w:rsidRPr="00E64488">
              <w:rPr>
                <w:rFonts w:eastAsia="Times New Roman" w:cs="Segoe UI"/>
                <w:color w:val="000000"/>
                <w:lang w:val="nl-NL" w:eastAsia="fr-FR"/>
              </w:rPr>
              <w:t xml:space="preserve"> leiden tot de toekenning van een voorschot van </w:t>
            </w:r>
            <w:r w:rsidRPr="00E64488">
              <w:rPr>
                <w:rFonts w:eastAsia="Times New Roman" w:cs="Segoe UI"/>
                <w:b/>
                <w:bCs/>
                <w:color w:val="000000"/>
                <w:lang w:val="nl-NL" w:eastAsia="fr-FR"/>
              </w:rPr>
              <w:t>meer dan € 225.000</w:t>
            </w:r>
            <w:r w:rsidRPr="00E64488">
              <w:rPr>
                <w:rFonts w:eastAsia="Times New Roman" w:cs="Segoe UI"/>
                <w:color w:val="000000"/>
                <w:lang w:val="nl-NL" w:eastAsia="fr-FR"/>
              </w:rPr>
              <w:t>. </w:t>
            </w:r>
          </w:p>
          <w:p w14:paraId="0379DF45" w14:textId="77777777" w:rsidR="00C07FC2" w:rsidRPr="00E64488" w:rsidRDefault="00C07FC2" w:rsidP="00C07FC2">
            <w:pPr>
              <w:jc w:val="both"/>
              <w:textAlignment w:val="baseline"/>
              <w:rPr>
                <w:rFonts w:eastAsia="Times New Roman" w:cs="Segoe UI"/>
                <w:lang w:val="nl-NL" w:eastAsia="fr-FR"/>
              </w:rPr>
            </w:pPr>
            <w:r w:rsidRPr="00E64488">
              <w:rPr>
                <w:rFonts w:eastAsia="Times New Roman" w:cs="Segoe UI"/>
                <w:color w:val="000000"/>
                <w:lang w:val="nl-NL" w:eastAsia="fr-FR"/>
              </w:rPr>
              <w:t> </w:t>
            </w:r>
          </w:p>
          <w:p w14:paraId="7576F929" w14:textId="77777777" w:rsidR="00C07FC2" w:rsidRPr="00E64488" w:rsidRDefault="00C07FC2" w:rsidP="00C07FC2">
            <w:pPr>
              <w:jc w:val="both"/>
              <w:textAlignment w:val="baseline"/>
              <w:rPr>
                <w:rFonts w:eastAsia="Times New Roman" w:cs="Segoe UI"/>
                <w:lang w:val="nl-NL" w:eastAsia="fr-FR"/>
              </w:rPr>
            </w:pPr>
            <w:r w:rsidRPr="00E64488">
              <w:rPr>
                <w:rFonts w:eastAsia="Times New Roman" w:cs="Segoe UI"/>
                <w:color w:val="000000"/>
                <w:u w:val="single"/>
                <w:lang w:val="nl-NL" w:eastAsia="fr-FR"/>
              </w:rPr>
              <w:t>Betalingsmodaliteiten:</w:t>
            </w:r>
            <w:r w:rsidRPr="00E64488">
              <w:rPr>
                <w:rFonts w:eastAsia="Times New Roman" w:cs="Segoe UI"/>
                <w:color w:val="000000"/>
                <w:lang w:val="nl-NL" w:eastAsia="fr-FR"/>
              </w:rPr>
              <w:t> </w:t>
            </w:r>
          </w:p>
          <w:p w14:paraId="70418258" w14:textId="77777777" w:rsidR="00C07FC2" w:rsidRPr="00E64488" w:rsidRDefault="00C07FC2" w:rsidP="00C07FC2">
            <w:pPr>
              <w:jc w:val="both"/>
              <w:textAlignment w:val="baseline"/>
              <w:rPr>
                <w:rFonts w:eastAsia="Times New Roman" w:cs="Segoe UI"/>
                <w:lang w:val="nl-NL" w:eastAsia="fr-FR"/>
              </w:rPr>
            </w:pPr>
            <w:r w:rsidRPr="00E64488">
              <w:rPr>
                <w:rFonts w:eastAsia="Times New Roman" w:cs="Segoe UI"/>
                <w:color w:val="000000"/>
                <w:lang w:val="nl-NL" w:eastAsia="fr-FR"/>
              </w:rPr>
              <w:t> </w:t>
            </w:r>
          </w:p>
          <w:p w14:paraId="1C324BE7" w14:textId="77777777" w:rsidR="00C07FC2" w:rsidRPr="00E64488" w:rsidRDefault="00C07FC2" w:rsidP="00C07FC2">
            <w:pPr>
              <w:jc w:val="both"/>
              <w:textAlignment w:val="baseline"/>
              <w:rPr>
                <w:rFonts w:eastAsia="Times New Roman" w:cs="Segoe UI"/>
                <w:lang w:val="nl-NL" w:eastAsia="fr-FR"/>
              </w:rPr>
            </w:pPr>
            <w:r w:rsidRPr="00E64488">
              <w:rPr>
                <w:rFonts w:eastAsia="Times New Roman" w:cs="Segoe UI"/>
                <w:color w:val="000000"/>
                <w:lang w:val="nl-NL" w:eastAsia="fr-FR"/>
              </w:rPr>
              <w:t>Het voorschot wordt afgetrokken van de eerste betalingsschijven zoals bepaald in art. 66 van dit bijzonder bestek, totdat het totale bedrag van het voorschot is bereikt.</w:t>
            </w:r>
            <w:r w:rsidRPr="00E64488" w:rsidDel="00B66926">
              <w:rPr>
                <w:rFonts w:eastAsia="Times New Roman" w:cs="Segoe UI"/>
                <w:color w:val="000000"/>
                <w:lang w:val="nl-NL" w:eastAsia="fr-FR"/>
              </w:rPr>
              <w:t xml:space="preserve"> </w:t>
            </w:r>
            <w:r w:rsidRPr="00E64488">
              <w:rPr>
                <w:rFonts w:eastAsia="Times New Roman" w:cs="Segoe UI"/>
                <w:color w:val="000000"/>
                <w:lang w:val="nl-NL" w:eastAsia="fr-FR"/>
              </w:rPr>
              <w:t> </w:t>
            </w:r>
          </w:p>
          <w:p w14:paraId="7C36DFAA" w14:textId="50969FFA" w:rsidR="00C07FC2" w:rsidRPr="006C2BB6" w:rsidRDefault="00C07FC2" w:rsidP="00C07FC2">
            <w:pPr>
              <w:spacing w:after="60"/>
              <w:jc w:val="both"/>
              <w:rPr>
                <w:lang w:val="nl-NL"/>
              </w:rPr>
            </w:pPr>
          </w:p>
        </w:tc>
      </w:tr>
      <w:tr w:rsidR="00C07FC2" w:rsidRPr="00C07FC2" w14:paraId="737D1324" w14:textId="77777777" w:rsidTr="00C07FC2">
        <w:trPr>
          <w:trHeight w:val="851"/>
        </w:trPr>
        <w:tc>
          <w:tcPr>
            <w:tcW w:w="4957" w:type="dxa"/>
            <w:shd w:val="clear" w:color="auto" w:fill="00A4B7"/>
            <w:vAlign w:val="center"/>
          </w:tcPr>
          <w:p w14:paraId="25CE98AA" w14:textId="7C9F173F" w:rsidR="00C07FC2" w:rsidRPr="004902FF" w:rsidRDefault="00C07FC2" w:rsidP="00C07FC2">
            <w:pPr>
              <w:pStyle w:val="Titre1"/>
              <w:rPr>
                <w:rFonts w:ascii="Century Gothic" w:eastAsiaTheme="minorHAnsi" w:hAnsi="Century Gothic" w:cstheme="minorBidi"/>
                <w:color w:val="FFFFFF" w:themeColor="background1"/>
                <w:sz w:val="22"/>
                <w:szCs w:val="22"/>
              </w:rPr>
            </w:pPr>
            <w:r w:rsidRPr="004902FF">
              <w:rPr>
                <w:rFonts w:ascii="Century Gothic" w:eastAsiaTheme="minorHAnsi" w:hAnsi="Century Gothic" w:cstheme="minorBidi"/>
                <w:color w:val="FFFFFF" w:themeColor="background1"/>
                <w:sz w:val="22"/>
                <w:szCs w:val="22"/>
              </w:rPr>
              <w:t>PARTIE 2 : PROCEDURE DE DESIGNATION,  LOI DU 17 JUIN 2016</w:t>
            </w:r>
            <w:r>
              <w:rPr>
                <w:rFonts w:ascii="Century Gothic" w:eastAsiaTheme="minorHAnsi" w:hAnsi="Century Gothic" w:cstheme="minorBidi"/>
                <w:color w:val="FFFFFF" w:themeColor="background1"/>
                <w:sz w:val="22"/>
                <w:szCs w:val="22"/>
              </w:rPr>
              <w:t xml:space="preserve">, </w:t>
            </w:r>
            <w:r>
              <w:t xml:space="preserve"> </w:t>
            </w:r>
            <w:r w:rsidRPr="00AE01F6">
              <w:rPr>
                <w:rFonts w:ascii="Century Gothic" w:eastAsiaTheme="minorHAnsi" w:hAnsi="Century Gothic" w:cstheme="minorBidi"/>
                <w:color w:val="FFFFFF" w:themeColor="background1"/>
                <w:sz w:val="22"/>
                <w:szCs w:val="22"/>
              </w:rPr>
              <w:t>Art. 58 : Délai d’engagement</w:t>
            </w:r>
            <w:r>
              <w:rPr>
                <w:rFonts w:ascii="Century Gothic" w:eastAsiaTheme="minorHAnsi" w:hAnsi="Century Gothic" w:cstheme="minorBidi"/>
                <w:color w:val="FFFFFF" w:themeColor="background1"/>
                <w:sz w:val="22"/>
                <w:szCs w:val="22"/>
              </w:rPr>
              <w:t xml:space="preserve"> (page 19)</w:t>
            </w:r>
          </w:p>
          <w:p w14:paraId="39857B5F" w14:textId="77777777" w:rsidR="00C07FC2" w:rsidRDefault="00C07FC2" w:rsidP="00C07FC2">
            <w:pPr>
              <w:spacing w:after="60"/>
              <w:jc w:val="both"/>
              <w:rPr>
                <w:rFonts w:eastAsia="Times New Roman" w:cs="Arial"/>
                <w:b/>
                <w:bCs/>
                <w:lang w:eastAsia="fr-FR"/>
              </w:rPr>
            </w:pPr>
          </w:p>
        </w:tc>
        <w:tc>
          <w:tcPr>
            <w:tcW w:w="4105" w:type="dxa"/>
            <w:shd w:val="clear" w:color="auto" w:fill="00A4B7"/>
            <w:vAlign w:val="center"/>
          </w:tcPr>
          <w:p w14:paraId="50DAC324" w14:textId="137FA6AE" w:rsidR="00C07FC2" w:rsidRPr="007D4163" w:rsidRDefault="00C07FC2" w:rsidP="00C07FC2">
            <w:pPr>
              <w:spacing w:after="60"/>
              <w:jc w:val="both"/>
              <w:rPr>
                <w:b/>
                <w:bCs/>
                <w:lang w:val="nl-NL"/>
              </w:rPr>
            </w:pPr>
            <w:r w:rsidRPr="00B517D5">
              <w:rPr>
                <w:color w:val="FFFFFF" w:themeColor="background1"/>
                <w:lang w:val="nl-NL"/>
              </w:rPr>
              <w:t>DEEL 2: AANSTELLINGSPROCEDURE</w:t>
            </w:r>
            <w:r>
              <w:rPr>
                <w:color w:val="FFFFFF" w:themeColor="background1"/>
                <w:lang w:val="nl-NL"/>
              </w:rPr>
              <w:t xml:space="preserve">, </w:t>
            </w:r>
            <w:r w:rsidRPr="00AB31B7">
              <w:rPr>
                <w:lang w:val="nl-NL"/>
              </w:rPr>
              <w:t xml:space="preserve"> </w:t>
            </w:r>
            <w:r w:rsidRPr="00AB31B7">
              <w:rPr>
                <w:color w:val="FFFFFF" w:themeColor="background1"/>
                <w:lang w:val="nl-NL"/>
              </w:rPr>
              <w:t>WET VAN 17 JUNI 2016</w:t>
            </w:r>
            <w:r>
              <w:rPr>
                <w:color w:val="FFFFFF" w:themeColor="background1"/>
                <w:lang w:val="nl-NL"/>
              </w:rPr>
              <w:t xml:space="preserve">, </w:t>
            </w:r>
            <w:r w:rsidRPr="00365EA3">
              <w:rPr>
                <w:lang w:val="nl-NL"/>
              </w:rPr>
              <w:t xml:space="preserve"> </w:t>
            </w:r>
            <w:r w:rsidRPr="00365EA3">
              <w:rPr>
                <w:color w:val="FFFFFF" w:themeColor="background1"/>
                <w:lang w:val="nl-NL"/>
              </w:rPr>
              <w:t>Art. 58 : Verbintenistermijn</w:t>
            </w:r>
            <w:r>
              <w:rPr>
                <w:color w:val="FFFFFF" w:themeColor="background1"/>
                <w:lang w:val="nl-NL"/>
              </w:rPr>
              <w:t xml:space="preserve"> (pagina  </w:t>
            </w:r>
            <w:r w:rsidR="00D30F82">
              <w:rPr>
                <w:color w:val="FFFFFF" w:themeColor="background1"/>
                <w:lang w:val="nl-NL"/>
              </w:rPr>
              <w:t>20)</w:t>
            </w:r>
          </w:p>
        </w:tc>
      </w:tr>
      <w:tr w:rsidR="00C07FC2" w:rsidRPr="0021509C" w14:paraId="4180784E" w14:textId="77777777" w:rsidTr="00C07FC2">
        <w:trPr>
          <w:trHeight w:val="851"/>
        </w:trPr>
        <w:tc>
          <w:tcPr>
            <w:tcW w:w="4957" w:type="dxa"/>
            <w:vAlign w:val="center"/>
          </w:tcPr>
          <w:p w14:paraId="2F7CD9B5" w14:textId="0231E754" w:rsidR="00C07FC2" w:rsidRDefault="00C07FC2" w:rsidP="00C07FC2">
            <w:pPr>
              <w:spacing w:after="60"/>
              <w:jc w:val="both"/>
              <w:rPr>
                <w:rFonts w:eastAsia="Times New Roman" w:cs="Arial"/>
                <w:b/>
                <w:bCs/>
                <w:lang w:val="nl-NL" w:eastAsia="fr-FR"/>
              </w:rPr>
            </w:pPr>
            <w:r w:rsidRPr="0021509C">
              <w:rPr>
                <w:rFonts w:eastAsia="Times New Roman" w:cs="Arial"/>
                <w:b/>
                <w:bCs/>
                <w:lang w:val="nl-NL" w:eastAsia="fr-FR"/>
              </w:rPr>
              <w:t>“</w:t>
            </w:r>
            <w:r w:rsidR="0021509C" w:rsidRPr="0021509C">
              <w:rPr>
                <w:rFonts w:eastAsia="Times New Roman" w:cs="Arial"/>
                <w:lang w:val="nl-NL" w:eastAsia="fr-FR"/>
              </w:rPr>
              <w:t>De geldigheidstermijn van de offertes wordt vermeld in punt IV.2.6 van de aankondiging van opdracht.</w:t>
            </w:r>
            <w:r w:rsidR="0021509C" w:rsidRPr="0021509C">
              <w:rPr>
                <w:rFonts w:eastAsia="Times New Roman" w:cs="Arial"/>
                <w:lang w:val="nl-NL" w:eastAsia="fr-FR"/>
              </w:rPr>
              <w:t>”</w:t>
            </w:r>
          </w:p>
          <w:p w14:paraId="579820DF" w14:textId="77777777" w:rsidR="0021509C" w:rsidRPr="0021509C" w:rsidRDefault="0021509C" w:rsidP="00C07FC2">
            <w:pPr>
              <w:spacing w:after="60"/>
              <w:jc w:val="both"/>
              <w:rPr>
                <w:rFonts w:eastAsia="Times New Roman" w:cs="Arial"/>
                <w:b/>
                <w:bCs/>
                <w:lang w:val="nl-NL" w:eastAsia="fr-FR"/>
              </w:rPr>
            </w:pPr>
          </w:p>
          <w:p w14:paraId="676EB171" w14:textId="77777777" w:rsidR="00C07FC2" w:rsidRDefault="00C07FC2" w:rsidP="00C07FC2">
            <w:pPr>
              <w:spacing w:after="60"/>
              <w:jc w:val="both"/>
              <w:rPr>
                <w:rStyle w:val="eop"/>
                <w:color w:val="000000"/>
                <w:shd w:val="clear" w:color="auto" w:fill="FFFFFF"/>
              </w:rPr>
            </w:pPr>
            <w:r>
              <w:rPr>
                <w:rStyle w:val="normaltextrun"/>
                <w:b/>
                <w:bCs/>
                <w:color w:val="000000"/>
                <w:shd w:val="clear" w:color="auto" w:fill="FFFFFF"/>
              </w:rPr>
              <w:t>Est remplacé par</w:t>
            </w:r>
            <w:r>
              <w:rPr>
                <w:rStyle w:val="normaltextrun"/>
                <w:rFonts w:ascii="Arial" w:hAnsi="Arial" w:cs="Arial"/>
                <w:b/>
                <w:bCs/>
                <w:color w:val="000000"/>
                <w:shd w:val="clear" w:color="auto" w:fill="FFFFFF"/>
              </w:rPr>
              <w:t> </w:t>
            </w:r>
            <w:r>
              <w:rPr>
                <w:rStyle w:val="normaltextrun"/>
                <w:b/>
                <w:bCs/>
                <w:color w:val="000000"/>
                <w:shd w:val="clear" w:color="auto" w:fill="FFFFFF"/>
              </w:rPr>
              <w:t>:</w:t>
            </w:r>
            <w:r>
              <w:rPr>
                <w:rStyle w:val="eop"/>
                <w:color w:val="000000"/>
                <w:shd w:val="clear" w:color="auto" w:fill="FFFFFF"/>
              </w:rPr>
              <w:t> </w:t>
            </w:r>
          </w:p>
          <w:p w14:paraId="6326255F" w14:textId="77777777" w:rsidR="00C07FC2" w:rsidRDefault="00C07FC2" w:rsidP="00C07FC2">
            <w:pPr>
              <w:spacing w:after="60"/>
              <w:jc w:val="both"/>
              <w:rPr>
                <w:rStyle w:val="eop"/>
                <w:color w:val="000000"/>
                <w:shd w:val="clear" w:color="auto" w:fill="FFFFFF"/>
              </w:rPr>
            </w:pPr>
          </w:p>
          <w:p w14:paraId="6B6A898E" w14:textId="7E6B1F70" w:rsidR="00C07FC2" w:rsidRPr="00264504" w:rsidRDefault="00C07FC2" w:rsidP="00C07FC2">
            <w:pPr>
              <w:spacing w:after="60"/>
              <w:jc w:val="both"/>
              <w:rPr>
                <w:rFonts w:eastAsia="Times New Roman" w:cs="Arial"/>
                <w:b/>
                <w:bCs/>
                <w:lang w:eastAsia="fr-FR"/>
              </w:rPr>
            </w:pPr>
            <w:r>
              <w:rPr>
                <w:rStyle w:val="eop"/>
                <w:color w:val="000000"/>
                <w:shd w:val="clear" w:color="auto" w:fill="FFFFFF"/>
              </w:rPr>
              <w:t>« </w:t>
            </w:r>
            <w:r>
              <w:t xml:space="preserve"> </w:t>
            </w:r>
            <w:r w:rsidRPr="00264504">
              <w:rPr>
                <w:rStyle w:val="eop"/>
                <w:color w:val="000000"/>
                <w:shd w:val="clear" w:color="auto" w:fill="FFFFFF"/>
              </w:rPr>
              <w:t>Les soumissionnaires restent engagés par leur offre pendant un délai de 180 jours calendrier à compter de la date limite de réception.</w:t>
            </w:r>
            <w:r>
              <w:rPr>
                <w:rStyle w:val="eop"/>
                <w:color w:val="000000"/>
                <w:shd w:val="clear" w:color="auto" w:fill="FFFFFF"/>
              </w:rPr>
              <w:t> »</w:t>
            </w:r>
          </w:p>
        </w:tc>
        <w:tc>
          <w:tcPr>
            <w:tcW w:w="4105" w:type="dxa"/>
            <w:vAlign w:val="center"/>
          </w:tcPr>
          <w:p w14:paraId="16D01783" w14:textId="47718AD2" w:rsidR="00C07FC2" w:rsidRDefault="00C07FC2" w:rsidP="00C07FC2">
            <w:pPr>
              <w:spacing w:after="60"/>
              <w:jc w:val="both"/>
              <w:rPr>
                <w:lang w:val="nl-NL"/>
              </w:rPr>
            </w:pPr>
            <w:r w:rsidRPr="00EC60C7">
              <w:rPr>
                <w:lang w:val="nl-NL"/>
              </w:rPr>
              <w:t>«  De geldigheidstermijn van de offertes wordt vermeld in punt IV.2.6 van de aankondiging van opdracht.”</w:t>
            </w:r>
          </w:p>
          <w:p w14:paraId="6D707DE7" w14:textId="77777777" w:rsidR="00C07FC2" w:rsidRPr="00EC60C7" w:rsidRDefault="00C07FC2" w:rsidP="00C07FC2">
            <w:pPr>
              <w:spacing w:after="60"/>
              <w:jc w:val="both"/>
              <w:rPr>
                <w:lang w:val="nl-NL"/>
              </w:rPr>
            </w:pPr>
          </w:p>
          <w:p w14:paraId="614A2E8B" w14:textId="77777777" w:rsidR="00C07FC2" w:rsidRPr="00EC60C7" w:rsidRDefault="00C07FC2" w:rsidP="00C07FC2">
            <w:pPr>
              <w:spacing w:after="60"/>
              <w:jc w:val="both"/>
              <w:rPr>
                <w:rStyle w:val="eop"/>
                <w:color w:val="000000"/>
                <w:shd w:val="clear" w:color="auto" w:fill="FFFFFF"/>
                <w:lang w:val="nl-NL"/>
              </w:rPr>
            </w:pPr>
            <w:r>
              <w:rPr>
                <w:rStyle w:val="normaltextrun"/>
                <w:b/>
                <w:bCs/>
                <w:color w:val="000000"/>
                <w:shd w:val="clear" w:color="auto" w:fill="FFFFFF"/>
                <w:lang w:val="nl-NL"/>
              </w:rPr>
              <w:t>Vervangen door : </w:t>
            </w:r>
            <w:r w:rsidRPr="00EC60C7">
              <w:rPr>
                <w:rStyle w:val="eop"/>
                <w:color w:val="000000"/>
                <w:shd w:val="clear" w:color="auto" w:fill="FFFFFF"/>
                <w:lang w:val="nl-NL"/>
              </w:rPr>
              <w:t> </w:t>
            </w:r>
          </w:p>
          <w:p w14:paraId="732C9413" w14:textId="77777777" w:rsidR="00C07FC2" w:rsidRPr="00EC60C7" w:rsidRDefault="00C07FC2" w:rsidP="00C07FC2">
            <w:pPr>
              <w:spacing w:after="60"/>
              <w:jc w:val="both"/>
              <w:rPr>
                <w:rStyle w:val="eop"/>
                <w:color w:val="000000"/>
                <w:shd w:val="clear" w:color="auto" w:fill="FFFFFF"/>
                <w:lang w:val="nl-NL"/>
              </w:rPr>
            </w:pPr>
          </w:p>
          <w:p w14:paraId="712C09CA" w14:textId="4155FDD1" w:rsidR="00C07FC2" w:rsidRPr="0021509C" w:rsidRDefault="00C07FC2" w:rsidP="00C07FC2">
            <w:pPr>
              <w:spacing w:after="60"/>
              <w:jc w:val="both"/>
              <w:rPr>
                <w:b/>
                <w:bCs/>
                <w:lang w:val="nl-NL"/>
              </w:rPr>
            </w:pPr>
            <w:r w:rsidRPr="0021509C">
              <w:rPr>
                <w:rStyle w:val="eop"/>
                <w:color w:val="000000"/>
                <w:shd w:val="clear" w:color="auto" w:fill="FFFFFF"/>
                <w:lang w:val="nl-NL"/>
              </w:rPr>
              <w:t>« </w:t>
            </w:r>
            <w:r w:rsidR="004C3034" w:rsidRPr="0021509C">
              <w:rPr>
                <w:lang w:val="nl-NL"/>
              </w:rPr>
              <w:t xml:space="preserve"> </w:t>
            </w:r>
            <w:r w:rsidR="004C3034" w:rsidRPr="0021509C">
              <w:rPr>
                <w:rStyle w:val="eop"/>
                <w:color w:val="000000"/>
                <w:shd w:val="clear" w:color="auto" w:fill="FFFFFF"/>
                <w:lang w:val="nl-NL"/>
              </w:rPr>
              <w:t>De inschrijvers blijven verbonden door hun offerte gedurende een termijn van 180 kalenderdagen, ingaand op de uiterste datum voor de ontvangst.</w:t>
            </w:r>
            <w:r w:rsidR="0021509C" w:rsidRPr="0021509C">
              <w:rPr>
                <w:rStyle w:val="eop"/>
                <w:color w:val="000000"/>
                <w:shd w:val="clear" w:color="auto" w:fill="FFFFFF"/>
                <w:lang w:val="nl-NL"/>
              </w:rPr>
              <w:t> »</w:t>
            </w:r>
          </w:p>
        </w:tc>
      </w:tr>
      <w:tr w:rsidR="00BF7EA4" w:rsidRPr="00BF7EA4" w14:paraId="7BE62000" w14:textId="77777777" w:rsidTr="00BF7EA4">
        <w:trPr>
          <w:trHeight w:val="851"/>
        </w:trPr>
        <w:tc>
          <w:tcPr>
            <w:tcW w:w="4957" w:type="dxa"/>
            <w:shd w:val="clear" w:color="auto" w:fill="00A4B7"/>
            <w:vAlign w:val="center"/>
          </w:tcPr>
          <w:p w14:paraId="3975161E" w14:textId="00DDED09" w:rsidR="00BF7EA4" w:rsidRPr="00BF7EA4" w:rsidRDefault="00BF7EA4" w:rsidP="00C07FC2">
            <w:pPr>
              <w:spacing w:after="60"/>
              <w:jc w:val="both"/>
              <w:rPr>
                <w:rFonts w:eastAsia="Times New Roman" w:cs="Arial"/>
                <w:b/>
                <w:bCs/>
                <w:lang w:eastAsia="fr-FR"/>
              </w:rPr>
            </w:pPr>
            <w:r w:rsidRPr="004902FF">
              <w:rPr>
                <w:color w:val="FFFFFF" w:themeColor="background1"/>
              </w:rPr>
              <w:t>PARTIE 2 : PROCEDURE DE DESIGNATION,  LOI DU 17 JUIN 2016</w:t>
            </w:r>
            <w:r>
              <w:rPr>
                <w:color w:val="FFFFFF" w:themeColor="background1"/>
              </w:rPr>
              <w:t xml:space="preserve">, </w:t>
            </w:r>
            <w:r w:rsidRPr="008952E2">
              <w:rPr>
                <w:color w:val="FFFFFF" w:themeColor="background1"/>
              </w:rPr>
              <w:t xml:space="preserve"> </w:t>
            </w:r>
            <w:r w:rsidR="00223A52" w:rsidRPr="008952E2">
              <w:rPr>
                <w:color w:val="FFFFFF" w:themeColor="background1"/>
              </w:rPr>
              <w:t xml:space="preserve"> </w:t>
            </w:r>
            <w:r w:rsidR="00223A52" w:rsidRPr="008952E2">
              <w:rPr>
                <w:color w:val="FFFFFF" w:themeColor="background1"/>
              </w:rPr>
              <w:t>Art. 77 : Forme de l’offre</w:t>
            </w:r>
            <w:r w:rsidR="00F51A62" w:rsidRPr="008952E2">
              <w:rPr>
                <w:color w:val="FFFFFF" w:themeColor="background1"/>
              </w:rPr>
              <w:t xml:space="preserve">,  </w:t>
            </w:r>
            <w:r w:rsidR="00F51A62" w:rsidRPr="008952E2">
              <w:rPr>
                <w:color w:val="FFFFFF" w:themeColor="background1"/>
              </w:rPr>
              <w:t>2.</w:t>
            </w:r>
            <w:r w:rsidR="00F51A62" w:rsidRPr="008952E2">
              <w:rPr>
                <w:color w:val="FFFFFF" w:themeColor="background1"/>
              </w:rPr>
              <w:tab/>
              <w:t>Format</w:t>
            </w:r>
            <w:r w:rsidR="008952E2">
              <w:rPr>
                <w:color w:val="FFFFFF" w:themeColor="background1"/>
              </w:rPr>
              <w:t xml:space="preserve"> </w:t>
            </w:r>
            <w:r w:rsidR="00F51A62" w:rsidRPr="008952E2">
              <w:rPr>
                <w:color w:val="FFFFFF" w:themeColor="background1"/>
              </w:rPr>
              <w:t>électronique</w:t>
            </w:r>
            <w:r w:rsidR="00F51A62" w:rsidRPr="008952E2">
              <w:rPr>
                <w:color w:val="FFFFFF" w:themeColor="background1"/>
              </w:rPr>
              <w:t xml:space="preserve"> (page </w:t>
            </w:r>
            <w:r w:rsidR="008952E2" w:rsidRPr="008952E2">
              <w:rPr>
                <w:color w:val="FFFFFF" w:themeColor="background1"/>
              </w:rPr>
              <w:t>19)</w:t>
            </w:r>
          </w:p>
        </w:tc>
        <w:tc>
          <w:tcPr>
            <w:tcW w:w="4105" w:type="dxa"/>
            <w:shd w:val="clear" w:color="auto" w:fill="00A4B7"/>
            <w:vAlign w:val="center"/>
          </w:tcPr>
          <w:p w14:paraId="5BDE5816" w14:textId="39023BD3" w:rsidR="00BF7EA4" w:rsidRPr="00BF7EA4" w:rsidRDefault="00BF7EA4" w:rsidP="00C07FC2">
            <w:pPr>
              <w:spacing w:after="60"/>
              <w:jc w:val="both"/>
              <w:rPr>
                <w:lang w:val="nl-NL"/>
              </w:rPr>
            </w:pPr>
            <w:r w:rsidRPr="00B517D5">
              <w:rPr>
                <w:color w:val="FFFFFF" w:themeColor="background1"/>
                <w:lang w:val="nl-NL"/>
              </w:rPr>
              <w:t>DEEL 2: AANSTELLINGSPROCEDURE</w:t>
            </w:r>
            <w:r>
              <w:rPr>
                <w:color w:val="FFFFFF" w:themeColor="background1"/>
                <w:lang w:val="nl-NL"/>
              </w:rPr>
              <w:t xml:space="preserve">, </w:t>
            </w:r>
            <w:r w:rsidRPr="00AB31B7">
              <w:rPr>
                <w:lang w:val="nl-NL"/>
              </w:rPr>
              <w:t xml:space="preserve"> </w:t>
            </w:r>
            <w:r w:rsidRPr="00AB31B7">
              <w:rPr>
                <w:color w:val="FFFFFF" w:themeColor="background1"/>
                <w:lang w:val="nl-NL"/>
              </w:rPr>
              <w:t>WET VAN 17 JUNI 2016</w:t>
            </w:r>
            <w:r>
              <w:rPr>
                <w:color w:val="FFFFFF" w:themeColor="background1"/>
                <w:lang w:val="nl-NL"/>
              </w:rPr>
              <w:t xml:space="preserve">, </w:t>
            </w:r>
            <w:r w:rsidRPr="00365EA3">
              <w:rPr>
                <w:lang w:val="nl-NL"/>
              </w:rPr>
              <w:t xml:space="preserve"> </w:t>
            </w:r>
            <w:r w:rsidR="000B12A9" w:rsidRPr="000B12A9">
              <w:rPr>
                <w:lang w:val="nl-NL"/>
              </w:rPr>
              <w:t xml:space="preserve"> </w:t>
            </w:r>
            <w:r w:rsidR="000B12A9" w:rsidRPr="00935905">
              <w:rPr>
                <w:color w:val="FFFFFF" w:themeColor="background1"/>
                <w:lang w:val="nl-NL"/>
              </w:rPr>
              <w:t>Art. 77 : Vorm van de offerte</w:t>
            </w:r>
            <w:r w:rsidR="000B12A9" w:rsidRPr="00935905">
              <w:rPr>
                <w:color w:val="FFFFFF" w:themeColor="background1"/>
                <w:lang w:val="nl-NL"/>
              </w:rPr>
              <w:t xml:space="preserve">, </w:t>
            </w:r>
            <w:r w:rsidR="00935905" w:rsidRPr="00935905">
              <w:rPr>
                <w:color w:val="FFFFFF" w:themeColor="background1"/>
                <w:lang w:val="nl-NL"/>
              </w:rPr>
              <w:t xml:space="preserve"> </w:t>
            </w:r>
            <w:r w:rsidR="00935905" w:rsidRPr="00935905">
              <w:rPr>
                <w:color w:val="FFFFFF" w:themeColor="background1"/>
                <w:lang w:val="nl-NL"/>
              </w:rPr>
              <w:t>2.</w:t>
            </w:r>
            <w:r w:rsidR="00935905" w:rsidRPr="00935905">
              <w:rPr>
                <w:color w:val="FFFFFF" w:themeColor="background1"/>
                <w:lang w:val="nl-NL"/>
              </w:rPr>
              <w:tab/>
              <w:t>Elektronisch formaat</w:t>
            </w:r>
            <w:r w:rsidR="00935905" w:rsidRPr="00935905">
              <w:rPr>
                <w:color w:val="FFFFFF" w:themeColor="background1"/>
                <w:lang w:val="nl-NL"/>
              </w:rPr>
              <w:t xml:space="preserve"> (pagina 20)</w:t>
            </w:r>
          </w:p>
        </w:tc>
      </w:tr>
      <w:tr w:rsidR="00BF7EA4" w:rsidRPr="00FA68D0" w14:paraId="21F5E3C3" w14:textId="77777777" w:rsidTr="00C07FC2">
        <w:trPr>
          <w:trHeight w:val="851"/>
        </w:trPr>
        <w:tc>
          <w:tcPr>
            <w:tcW w:w="4957" w:type="dxa"/>
            <w:vAlign w:val="center"/>
          </w:tcPr>
          <w:p w14:paraId="43F5AD9F" w14:textId="77777777" w:rsidR="00BF7EA4" w:rsidRDefault="00745EFC" w:rsidP="00C07FC2">
            <w:pPr>
              <w:spacing w:after="60"/>
              <w:jc w:val="both"/>
              <w:rPr>
                <w:rFonts w:eastAsia="Times New Roman" w:cs="Arial"/>
                <w:lang w:eastAsia="fr-FR"/>
              </w:rPr>
            </w:pPr>
            <w:r>
              <w:rPr>
                <w:rFonts w:eastAsia="Times New Roman" w:cs="Arial"/>
                <w:lang w:eastAsia="fr-FR"/>
              </w:rPr>
              <w:t>« </w:t>
            </w:r>
            <w:r w:rsidRPr="00745EFC">
              <w:rPr>
                <w:rFonts w:eastAsia="Times New Roman" w:cs="Arial"/>
                <w:lang w:eastAsia="fr-FR"/>
              </w:rPr>
              <w:t>L’offre doit être remise sous format électronique via la plateforme e-tendering (e-procurement) et doit reprendre, dans l’ordre, les documents repris au point suivant (3.2 Composition de l’esquisse (documents à remettre à l’offre)</w:t>
            </w:r>
            <w:r w:rsidRPr="00745EFC">
              <w:rPr>
                <w:rFonts w:eastAsia="Times New Roman" w:cs="Arial"/>
                <w:lang w:eastAsia="fr-FR"/>
              </w:rPr>
              <w:tab/>
              <w:t xml:space="preserve">de l’Annexe 3_Description </w:t>
            </w:r>
            <w:proofErr w:type="spellStart"/>
            <w:r w:rsidRPr="00745EFC">
              <w:rPr>
                <w:rFonts w:eastAsia="Times New Roman" w:cs="Arial"/>
                <w:lang w:eastAsia="fr-FR"/>
              </w:rPr>
              <w:t>marché_Fiche</w:t>
            </w:r>
            <w:proofErr w:type="spellEnd"/>
            <w:r w:rsidRPr="00745EFC">
              <w:rPr>
                <w:rFonts w:eastAsia="Times New Roman" w:cs="Arial"/>
                <w:lang w:eastAsia="fr-FR"/>
              </w:rPr>
              <w:t xml:space="preserve"> technique détaillée.), en suivant la dénomination et le format repris en annexe </w:t>
            </w:r>
            <w:r w:rsidRPr="00745EFC">
              <w:rPr>
                <w:rFonts w:eastAsia="Times New Roman" w:cs="Arial"/>
                <w:b/>
                <w:i/>
                <w:color w:val="3E5B7B"/>
                <w:lang w:eastAsia="fr-FR"/>
              </w:rPr>
              <w:t>[2]</w:t>
            </w:r>
            <w:r w:rsidRPr="00745EFC">
              <w:rPr>
                <w:rFonts w:eastAsia="Times New Roman" w:cs="Arial"/>
                <w:lang w:eastAsia="fr-FR"/>
              </w:rPr>
              <w:t>.</w:t>
            </w:r>
            <w:r>
              <w:rPr>
                <w:rFonts w:eastAsia="Times New Roman" w:cs="Arial"/>
                <w:lang w:eastAsia="fr-FR"/>
              </w:rPr>
              <w:t> »</w:t>
            </w:r>
          </w:p>
          <w:p w14:paraId="37FC3C8B" w14:textId="77777777" w:rsidR="00745EFC" w:rsidRDefault="00745EFC" w:rsidP="00C07FC2">
            <w:pPr>
              <w:spacing w:after="60"/>
              <w:jc w:val="both"/>
              <w:rPr>
                <w:rFonts w:eastAsia="Times New Roman" w:cs="Arial"/>
                <w:lang w:eastAsia="fr-FR"/>
              </w:rPr>
            </w:pPr>
          </w:p>
          <w:p w14:paraId="584C04ED" w14:textId="77777777" w:rsidR="00632D25" w:rsidRDefault="00632D25" w:rsidP="00C07FC2">
            <w:pPr>
              <w:spacing w:after="60"/>
              <w:jc w:val="both"/>
              <w:rPr>
                <w:rFonts w:eastAsia="Times New Roman" w:cs="Arial"/>
                <w:lang w:eastAsia="fr-FR"/>
              </w:rPr>
            </w:pPr>
          </w:p>
          <w:p w14:paraId="449C2F8A" w14:textId="58A277E1" w:rsidR="00745EFC" w:rsidRPr="00745EFC" w:rsidRDefault="00745EFC" w:rsidP="00C07FC2">
            <w:pPr>
              <w:spacing w:after="60"/>
              <w:jc w:val="both"/>
              <w:rPr>
                <w:rFonts w:eastAsia="Times New Roman" w:cs="Arial"/>
                <w:b/>
                <w:bCs/>
                <w:lang w:eastAsia="fr-FR"/>
              </w:rPr>
            </w:pPr>
            <w:r w:rsidRPr="00745EFC">
              <w:rPr>
                <w:rFonts w:eastAsia="Times New Roman" w:cs="Arial"/>
                <w:b/>
                <w:bCs/>
                <w:lang w:eastAsia="fr-FR"/>
              </w:rPr>
              <w:t>Est remplacé par :</w:t>
            </w:r>
          </w:p>
          <w:p w14:paraId="37ECB0B4" w14:textId="77777777" w:rsidR="00745EFC" w:rsidRDefault="00745EFC" w:rsidP="00C07FC2">
            <w:pPr>
              <w:spacing w:after="60"/>
              <w:jc w:val="both"/>
              <w:rPr>
                <w:rFonts w:eastAsia="Times New Roman" w:cs="Arial"/>
                <w:lang w:eastAsia="fr-FR"/>
              </w:rPr>
            </w:pPr>
          </w:p>
          <w:p w14:paraId="2377A108" w14:textId="2F1EC3F6" w:rsidR="00745EFC" w:rsidRPr="00FD2EE0" w:rsidRDefault="00745EFC" w:rsidP="00745EFC">
            <w:pPr>
              <w:jc w:val="both"/>
              <w:rPr>
                <w:rFonts w:eastAsia="Times New Roman" w:cs="Arial"/>
                <w:lang w:eastAsia="fr-FR"/>
              </w:rPr>
            </w:pPr>
            <w:r>
              <w:rPr>
                <w:rFonts w:eastAsia="Times New Roman" w:cs="Arial"/>
                <w:lang w:eastAsia="fr-FR"/>
              </w:rPr>
              <w:t>« </w:t>
            </w:r>
            <w:bookmarkStart w:id="6" w:name="_Hlk536714679"/>
            <w:r w:rsidRPr="00FD2EE0">
              <w:rPr>
                <w:rFonts w:eastAsia="Times New Roman" w:cs="Arial"/>
                <w:lang w:eastAsia="fr-FR"/>
              </w:rPr>
              <w:t xml:space="preserve"> </w:t>
            </w:r>
            <w:r w:rsidRPr="00FD2EE0">
              <w:rPr>
                <w:rFonts w:eastAsia="Times New Roman" w:cs="Arial"/>
                <w:lang w:eastAsia="fr-FR"/>
              </w:rPr>
              <w:t>L’offre doit être remise sous format électronique via la plateforme e-procurement et doit reprendre, dans l’ordre</w:t>
            </w:r>
            <w:r>
              <w:rPr>
                <w:rFonts w:eastAsia="Times New Roman" w:cs="Arial"/>
                <w:lang w:eastAsia="fr-FR"/>
              </w:rPr>
              <w:t>,</w:t>
            </w:r>
            <w:r w:rsidRPr="00FD2EE0">
              <w:rPr>
                <w:rFonts w:eastAsia="Times New Roman" w:cs="Arial"/>
                <w:lang w:eastAsia="fr-FR"/>
              </w:rPr>
              <w:t xml:space="preserve"> les documents repris au point suivant (</w:t>
            </w:r>
            <w:r w:rsidRPr="000D6C8E">
              <w:rPr>
                <w:rFonts w:eastAsia="Times New Roman" w:cs="Arial"/>
                <w:lang w:eastAsia="fr-FR"/>
              </w:rPr>
              <w:t>3.2 Composition de l’esquisse (documents à remettre à l’offre)</w:t>
            </w:r>
            <w:r w:rsidRPr="000D6C8E">
              <w:rPr>
                <w:rFonts w:eastAsia="Times New Roman" w:cs="Arial"/>
                <w:lang w:eastAsia="fr-FR"/>
              </w:rPr>
              <w:tab/>
            </w:r>
            <w:r>
              <w:rPr>
                <w:rFonts w:eastAsia="Times New Roman" w:cs="Arial"/>
                <w:lang w:eastAsia="fr-FR"/>
              </w:rPr>
              <w:t>de l’Annexe 3_</w:t>
            </w:r>
            <w:r w:rsidRPr="000D6C8E">
              <w:rPr>
                <w:rFonts w:eastAsia="Times New Roman" w:cs="Arial"/>
                <w:lang w:eastAsia="fr-FR"/>
              </w:rPr>
              <w:t xml:space="preserve">Description </w:t>
            </w:r>
            <w:proofErr w:type="spellStart"/>
            <w:r w:rsidRPr="000D6C8E">
              <w:rPr>
                <w:rFonts w:eastAsia="Times New Roman" w:cs="Arial"/>
                <w:lang w:eastAsia="fr-FR"/>
              </w:rPr>
              <w:t>marché</w:t>
            </w:r>
            <w:r>
              <w:rPr>
                <w:rFonts w:eastAsia="Times New Roman" w:cs="Arial"/>
                <w:lang w:eastAsia="fr-FR"/>
              </w:rPr>
              <w:t>_</w:t>
            </w:r>
            <w:r w:rsidRPr="000D6C8E">
              <w:rPr>
                <w:rFonts w:eastAsia="Times New Roman" w:cs="Arial"/>
                <w:lang w:eastAsia="fr-FR"/>
              </w:rPr>
              <w:t>Fiche</w:t>
            </w:r>
            <w:proofErr w:type="spellEnd"/>
            <w:r w:rsidRPr="000D6C8E">
              <w:rPr>
                <w:rFonts w:eastAsia="Times New Roman" w:cs="Arial"/>
                <w:lang w:eastAsia="fr-FR"/>
              </w:rPr>
              <w:t xml:space="preserve"> technique détaillée.</w:t>
            </w:r>
            <w:r w:rsidRPr="00FD2EE0">
              <w:rPr>
                <w:rFonts w:eastAsia="Times New Roman" w:cs="Arial"/>
                <w:lang w:eastAsia="fr-FR"/>
              </w:rPr>
              <w:t xml:space="preserve">), en suivant </w:t>
            </w:r>
            <w:r>
              <w:rPr>
                <w:rFonts w:eastAsia="Times New Roman" w:cs="Arial"/>
                <w:lang w:eastAsia="fr-FR"/>
              </w:rPr>
              <w:t>la dénomination</w:t>
            </w:r>
            <w:r w:rsidRPr="00FD2EE0">
              <w:rPr>
                <w:rFonts w:eastAsia="Times New Roman" w:cs="Arial"/>
                <w:lang w:eastAsia="fr-FR"/>
              </w:rPr>
              <w:t xml:space="preserve"> et le format repris en annexe </w:t>
            </w:r>
            <w:r w:rsidRPr="00425D78">
              <w:rPr>
                <w:rFonts w:eastAsia="Times New Roman" w:cs="Arial"/>
                <w:b/>
                <w:i/>
                <w:color w:val="3E5B7B"/>
                <w:lang w:eastAsia="fr-FR"/>
              </w:rPr>
              <w:t>[2]</w:t>
            </w:r>
            <w:r w:rsidRPr="00425D78">
              <w:rPr>
                <w:rFonts w:eastAsia="Times New Roman" w:cs="Arial"/>
                <w:color w:val="3E5B7B"/>
                <w:lang w:eastAsia="fr-FR"/>
              </w:rPr>
              <w:t>.</w:t>
            </w:r>
            <w:r>
              <w:rPr>
                <w:rFonts w:eastAsia="Times New Roman" w:cs="Arial"/>
                <w:color w:val="3E5B7B"/>
                <w:lang w:eastAsia="fr-FR"/>
              </w:rPr>
              <w:t> »</w:t>
            </w:r>
          </w:p>
          <w:bookmarkEnd w:id="6"/>
          <w:p w14:paraId="7B312E82" w14:textId="3F6982A1" w:rsidR="00745EFC" w:rsidRPr="00745EFC" w:rsidRDefault="00745EFC" w:rsidP="00C07FC2">
            <w:pPr>
              <w:spacing w:after="60"/>
              <w:jc w:val="both"/>
              <w:rPr>
                <w:rFonts w:eastAsia="Times New Roman" w:cs="Arial"/>
                <w:lang w:eastAsia="fr-FR"/>
              </w:rPr>
            </w:pPr>
          </w:p>
        </w:tc>
        <w:tc>
          <w:tcPr>
            <w:tcW w:w="4105" w:type="dxa"/>
            <w:vAlign w:val="center"/>
          </w:tcPr>
          <w:p w14:paraId="7894FBBA" w14:textId="77777777" w:rsidR="00BF7EA4" w:rsidRDefault="00FA68D0" w:rsidP="00C07FC2">
            <w:pPr>
              <w:spacing w:after="60"/>
              <w:jc w:val="both"/>
              <w:rPr>
                <w:rStyle w:val="eop"/>
                <w:color w:val="1F497D"/>
                <w:shd w:val="clear" w:color="auto" w:fill="FFFFFF"/>
                <w:lang w:val="nl-NL"/>
              </w:rPr>
            </w:pPr>
            <w:r w:rsidRPr="00FA68D0">
              <w:rPr>
                <w:lang w:val="nl-NL"/>
              </w:rPr>
              <w:t>« </w:t>
            </w:r>
            <w:r>
              <w:rPr>
                <w:rStyle w:val="Grilledutableau"/>
                <w:color w:val="000000"/>
                <w:shd w:val="clear" w:color="auto" w:fill="FFFFFF"/>
                <w:lang w:val="nl-NL"/>
              </w:rPr>
              <w:t xml:space="preserve"> </w:t>
            </w:r>
            <w:r>
              <w:rPr>
                <w:rStyle w:val="normaltextrun"/>
                <w:color w:val="000000"/>
                <w:shd w:val="clear" w:color="auto" w:fill="FFFFFF"/>
                <w:lang w:val="nl-NL"/>
              </w:rPr>
              <w:t>De offerte moet elektronisch worden ingediend via het e-</w:t>
            </w:r>
            <w:proofErr w:type="spellStart"/>
            <w:r>
              <w:rPr>
                <w:rStyle w:val="normaltextrun"/>
                <w:color w:val="000000"/>
                <w:shd w:val="clear" w:color="auto" w:fill="FFFFFF"/>
                <w:lang w:val="nl-NL"/>
              </w:rPr>
              <w:t>tenderingplatform</w:t>
            </w:r>
            <w:proofErr w:type="spellEnd"/>
            <w:r>
              <w:rPr>
                <w:rStyle w:val="normaltextrun"/>
                <w:color w:val="000000"/>
                <w:shd w:val="clear" w:color="auto" w:fill="FFFFFF"/>
                <w:lang w:val="nl-NL"/>
              </w:rPr>
              <w:t xml:space="preserve"> (</w:t>
            </w:r>
            <w:proofErr w:type="spellStart"/>
            <w:r>
              <w:rPr>
                <w:rStyle w:val="normaltextrun"/>
                <w:color w:val="000000"/>
                <w:shd w:val="clear" w:color="auto" w:fill="FFFFFF"/>
                <w:lang w:val="nl-NL"/>
              </w:rPr>
              <w:t>e-procurement</w:t>
            </w:r>
            <w:proofErr w:type="spellEnd"/>
            <w:r>
              <w:rPr>
                <w:rStyle w:val="normaltextrun"/>
                <w:color w:val="000000"/>
                <w:shd w:val="clear" w:color="auto" w:fill="FFFFFF"/>
                <w:lang w:val="nl-NL"/>
              </w:rPr>
              <w:t xml:space="preserve">) en moet, in die volgorde, de in het volgende punt opgenomen documenten bevatten (3.2 Samenstelling van de schets (bij de offerte in te dienen documenten van bijlage 3: Beschrijving </w:t>
            </w:r>
            <w:proofErr w:type="spellStart"/>
            <w:r>
              <w:rPr>
                <w:rStyle w:val="normaltextrun"/>
                <w:color w:val="000000"/>
                <w:shd w:val="clear" w:color="auto" w:fill="FFFFFF"/>
                <w:lang w:val="nl-NL"/>
              </w:rPr>
              <w:t>opdracht_gedetailleerde</w:t>
            </w:r>
            <w:proofErr w:type="spellEnd"/>
            <w:r>
              <w:rPr>
                <w:rStyle w:val="normaltextrun"/>
                <w:color w:val="000000"/>
                <w:shd w:val="clear" w:color="auto" w:fill="FFFFFF"/>
                <w:lang w:val="nl-NL"/>
              </w:rPr>
              <w:t xml:space="preserve"> technische </w:t>
            </w:r>
            <w:proofErr w:type="spellStart"/>
            <w:r>
              <w:rPr>
                <w:rStyle w:val="normaltextrun"/>
                <w:color w:val="000000"/>
                <w:shd w:val="clear" w:color="auto" w:fill="FFFFFF"/>
                <w:lang w:val="nl-NL"/>
              </w:rPr>
              <w:t>fiche_NL</w:t>
            </w:r>
            <w:proofErr w:type="spellEnd"/>
            <w:r>
              <w:rPr>
                <w:rStyle w:val="normaltextrun"/>
                <w:color w:val="000000"/>
                <w:shd w:val="clear" w:color="auto" w:fill="FFFFFF"/>
                <w:lang w:val="nl-NL"/>
              </w:rPr>
              <w:t xml:space="preserve"> ), met de naam en het formaat die vermeld worden in bijlage </w:t>
            </w:r>
            <w:r>
              <w:rPr>
                <w:rStyle w:val="normaltextrun"/>
                <w:b/>
                <w:bCs/>
                <w:i/>
                <w:iCs/>
                <w:color w:val="1F497D"/>
                <w:shd w:val="clear" w:color="auto" w:fill="FFFFFF"/>
                <w:lang w:val="nl-NL"/>
              </w:rPr>
              <w:t>[2]</w:t>
            </w:r>
            <w:r>
              <w:rPr>
                <w:rStyle w:val="normaltextrun"/>
                <w:color w:val="1F497D"/>
                <w:shd w:val="clear" w:color="auto" w:fill="FFFFFF"/>
                <w:lang w:val="nl-NL"/>
              </w:rPr>
              <w:t>.</w:t>
            </w:r>
            <w:r w:rsidRPr="00FA68D0">
              <w:rPr>
                <w:rStyle w:val="eop"/>
                <w:color w:val="1F497D"/>
                <w:shd w:val="clear" w:color="auto" w:fill="FFFFFF"/>
                <w:lang w:val="nl-NL"/>
              </w:rPr>
              <w:t> </w:t>
            </w:r>
            <w:r>
              <w:rPr>
                <w:rStyle w:val="eop"/>
                <w:color w:val="1F497D"/>
                <w:shd w:val="clear" w:color="auto" w:fill="FFFFFF"/>
                <w:lang w:val="nl-NL"/>
              </w:rPr>
              <w:t>“</w:t>
            </w:r>
          </w:p>
          <w:p w14:paraId="7B1A8004" w14:textId="77777777" w:rsidR="00FA68D0" w:rsidRDefault="00FA68D0" w:rsidP="00C07FC2">
            <w:pPr>
              <w:spacing w:after="60"/>
              <w:jc w:val="both"/>
              <w:rPr>
                <w:rStyle w:val="eop"/>
                <w:color w:val="1F497D"/>
                <w:shd w:val="clear" w:color="auto" w:fill="FFFFFF"/>
                <w:lang w:val="nl-NL"/>
              </w:rPr>
            </w:pPr>
          </w:p>
          <w:p w14:paraId="29F9269C" w14:textId="77777777" w:rsidR="00632D25" w:rsidRPr="00EC60C7" w:rsidRDefault="00632D25" w:rsidP="00632D25">
            <w:pPr>
              <w:spacing w:after="60"/>
              <w:jc w:val="both"/>
              <w:rPr>
                <w:rStyle w:val="eop"/>
                <w:color w:val="000000"/>
                <w:shd w:val="clear" w:color="auto" w:fill="FFFFFF"/>
                <w:lang w:val="nl-NL"/>
              </w:rPr>
            </w:pPr>
            <w:r>
              <w:rPr>
                <w:rStyle w:val="normaltextrun"/>
                <w:b/>
                <w:bCs/>
                <w:color w:val="000000"/>
                <w:shd w:val="clear" w:color="auto" w:fill="FFFFFF"/>
                <w:lang w:val="nl-NL"/>
              </w:rPr>
              <w:t>Vervangen door : </w:t>
            </w:r>
            <w:r w:rsidRPr="00EC60C7">
              <w:rPr>
                <w:rStyle w:val="eop"/>
                <w:color w:val="000000"/>
                <w:shd w:val="clear" w:color="auto" w:fill="FFFFFF"/>
                <w:lang w:val="nl-NL"/>
              </w:rPr>
              <w:t> </w:t>
            </w:r>
          </w:p>
          <w:p w14:paraId="2B323E54" w14:textId="77777777" w:rsidR="00FA68D0" w:rsidRDefault="00FA68D0" w:rsidP="00C07FC2">
            <w:pPr>
              <w:spacing w:after="60"/>
              <w:jc w:val="both"/>
              <w:rPr>
                <w:rStyle w:val="eop"/>
                <w:color w:val="1F497D"/>
                <w:shd w:val="clear" w:color="auto" w:fill="FFFFFF"/>
                <w:lang w:val="nl-NL"/>
              </w:rPr>
            </w:pPr>
          </w:p>
          <w:p w14:paraId="7D2CF1EA" w14:textId="62D45489" w:rsidR="00632D25" w:rsidRPr="00632D25" w:rsidRDefault="00FA68D0" w:rsidP="00632D25">
            <w:pPr>
              <w:jc w:val="both"/>
              <w:rPr>
                <w:rFonts w:eastAsia="Times New Roman" w:cs="Arial"/>
                <w:lang w:val="nl-NL" w:eastAsia="fr-FR"/>
              </w:rPr>
            </w:pPr>
            <w:r>
              <w:rPr>
                <w:rStyle w:val="eop"/>
                <w:color w:val="1F497D"/>
                <w:shd w:val="clear" w:color="auto" w:fill="FFFFFF"/>
                <w:lang w:val="nl-NL"/>
              </w:rPr>
              <w:t>“</w:t>
            </w:r>
            <w:r w:rsidR="00632D25" w:rsidRPr="00632D25">
              <w:rPr>
                <w:rFonts w:eastAsia="Calibri" w:cs="Times New Roman"/>
                <w:lang w:val="nl-NL"/>
              </w:rPr>
              <w:t xml:space="preserve"> </w:t>
            </w:r>
            <w:r w:rsidR="00632D25" w:rsidRPr="00632D25">
              <w:rPr>
                <w:rFonts w:eastAsia="Calibri" w:cs="Times New Roman"/>
                <w:lang w:val="nl-NL"/>
              </w:rPr>
              <w:t>De offerte moet elektronisch worden ingediend via het e-</w:t>
            </w:r>
            <w:proofErr w:type="spellStart"/>
            <w:r w:rsidR="00632D25" w:rsidRPr="00632D25">
              <w:rPr>
                <w:rFonts w:eastAsia="Calibri" w:cs="Times New Roman"/>
                <w:lang w:val="nl-NL"/>
              </w:rPr>
              <w:t>Procurementplatform</w:t>
            </w:r>
            <w:proofErr w:type="spellEnd"/>
            <w:r w:rsidR="00632D25" w:rsidRPr="00632D25">
              <w:rPr>
                <w:rFonts w:eastAsia="Calibri" w:cs="Times New Roman"/>
                <w:lang w:val="nl-NL"/>
              </w:rPr>
              <w:t xml:space="preserve"> en moet, in die volgorde, de in het volgende punt opgenomen documenten bevatten (3.2 Samenstelling van de schets (bij de offerte in te dienen documenten van bijlage 3: Beschrijving </w:t>
            </w:r>
            <w:proofErr w:type="spellStart"/>
            <w:r w:rsidR="00632D25" w:rsidRPr="00632D25">
              <w:rPr>
                <w:rFonts w:eastAsia="Calibri" w:cs="Times New Roman"/>
                <w:lang w:val="nl-NL"/>
              </w:rPr>
              <w:t>opdracht_gedetailleerde</w:t>
            </w:r>
            <w:proofErr w:type="spellEnd"/>
            <w:r w:rsidR="00632D25" w:rsidRPr="00632D25">
              <w:rPr>
                <w:rFonts w:eastAsia="Calibri" w:cs="Times New Roman"/>
                <w:lang w:val="nl-NL"/>
              </w:rPr>
              <w:t xml:space="preserve"> technische </w:t>
            </w:r>
            <w:proofErr w:type="spellStart"/>
            <w:r w:rsidR="00632D25" w:rsidRPr="00632D25">
              <w:rPr>
                <w:rFonts w:eastAsia="Calibri" w:cs="Times New Roman"/>
                <w:lang w:val="nl-NL"/>
              </w:rPr>
              <w:t>fiche_NL</w:t>
            </w:r>
            <w:proofErr w:type="spellEnd"/>
            <w:r w:rsidR="00632D25" w:rsidRPr="00632D25">
              <w:rPr>
                <w:rFonts w:eastAsia="Calibri" w:cs="Times New Roman"/>
                <w:lang w:val="nl-NL"/>
              </w:rPr>
              <w:t xml:space="preserve"> ), met de naam en het formaat die vermeld worden in bijlage</w:t>
            </w:r>
            <w:r w:rsidR="00632D25" w:rsidRPr="00632D25">
              <w:rPr>
                <w:rFonts w:eastAsia="Times New Roman" w:cs="Arial"/>
                <w:lang w:val="nl-NL" w:eastAsia="fr-FR"/>
              </w:rPr>
              <w:t xml:space="preserve"> </w:t>
            </w:r>
            <w:r w:rsidR="00632D25" w:rsidRPr="00632D25">
              <w:rPr>
                <w:rFonts w:eastAsia="Times New Roman" w:cs="Arial"/>
                <w:b/>
                <w:i/>
                <w:color w:val="1F497D"/>
                <w:lang w:val="nl-NL" w:eastAsia="fr-FR"/>
              </w:rPr>
              <w:t>[2]</w:t>
            </w:r>
            <w:r w:rsidR="00632D25" w:rsidRPr="00632D25">
              <w:rPr>
                <w:rFonts w:eastAsia="Times New Roman" w:cs="Arial"/>
                <w:color w:val="1F497D"/>
                <w:lang w:val="nl-NL" w:eastAsia="fr-FR"/>
              </w:rPr>
              <w:t>.</w:t>
            </w:r>
          </w:p>
          <w:p w14:paraId="28D22C30" w14:textId="73BD05B6" w:rsidR="00FA68D0" w:rsidRPr="00FA68D0" w:rsidRDefault="00632D25" w:rsidP="00C07FC2">
            <w:pPr>
              <w:spacing w:after="60"/>
              <w:jc w:val="both"/>
              <w:rPr>
                <w:lang w:val="nl-NL"/>
              </w:rPr>
            </w:pPr>
            <w:r>
              <w:rPr>
                <w:lang w:val="nl-NL"/>
              </w:rPr>
              <w:t>“</w:t>
            </w:r>
          </w:p>
        </w:tc>
      </w:tr>
      <w:tr w:rsidR="00BF7EA4" w:rsidRPr="001F21EC" w14:paraId="55A95E1F" w14:textId="77777777" w:rsidTr="007A0028">
        <w:trPr>
          <w:trHeight w:val="851"/>
        </w:trPr>
        <w:tc>
          <w:tcPr>
            <w:tcW w:w="4957" w:type="dxa"/>
            <w:shd w:val="clear" w:color="auto" w:fill="00A4B7"/>
            <w:vAlign w:val="center"/>
          </w:tcPr>
          <w:p w14:paraId="6DE357F3" w14:textId="5708AA25" w:rsidR="00BF7EA4" w:rsidRPr="007A0028" w:rsidRDefault="007A0028" w:rsidP="00C07FC2">
            <w:pPr>
              <w:spacing w:after="60"/>
              <w:jc w:val="both"/>
              <w:rPr>
                <w:rFonts w:eastAsia="Times New Roman" w:cs="Arial"/>
                <w:b/>
                <w:bCs/>
                <w:lang w:eastAsia="fr-FR"/>
              </w:rPr>
            </w:pPr>
            <w:r w:rsidRPr="004902FF">
              <w:rPr>
                <w:color w:val="FFFFFF" w:themeColor="background1"/>
              </w:rPr>
              <w:t>PARTIE 2 : PROCEDURE DE DESIGNATION,  LOI DU 17 JUIN 2016</w:t>
            </w:r>
            <w:r>
              <w:rPr>
                <w:color w:val="FFFFFF" w:themeColor="background1"/>
              </w:rPr>
              <w:t xml:space="preserve">, </w:t>
            </w:r>
            <w:r w:rsidRPr="008952E2">
              <w:rPr>
                <w:color w:val="FFFFFF" w:themeColor="background1"/>
              </w:rPr>
              <w:t xml:space="preserve">  Art. </w:t>
            </w:r>
            <w:r w:rsidR="00AA43A0">
              <w:t xml:space="preserve"> </w:t>
            </w:r>
            <w:r w:rsidR="00AA43A0" w:rsidRPr="00AA43A0">
              <w:rPr>
                <w:color w:val="FFFFFF" w:themeColor="background1"/>
              </w:rPr>
              <w:t>84 : Dépôt de l’offre</w:t>
            </w:r>
            <w:r w:rsidR="005640AB">
              <w:rPr>
                <w:color w:val="FFFFFF" w:themeColor="background1"/>
              </w:rPr>
              <w:t xml:space="preserve"> (page </w:t>
            </w:r>
            <w:r w:rsidR="006D6716">
              <w:rPr>
                <w:color w:val="FFFFFF" w:themeColor="background1"/>
              </w:rPr>
              <w:t>19)</w:t>
            </w:r>
          </w:p>
        </w:tc>
        <w:tc>
          <w:tcPr>
            <w:tcW w:w="4105" w:type="dxa"/>
            <w:shd w:val="clear" w:color="auto" w:fill="00A4B7"/>
            <w:vAlign w:val="center"/>
          </w:tcPr>
          <w:p w14:paraId="45B1EBA1" w14:textId="4A3683B7" w:rsidR="00BF7EA4" w:rsidRPr="001F21EC" w:rsidRDefault="006D6716" w:rsidP="00C07FC2">
            <w:pPr>
              <w:spacing w:after="60"/>
              <w:jc w:val="both"/>
              <w:rPr>
                <w:lang w:val="nl-NL"/>
              </w:rPr>
            </w:pPr>
            <w:r w:rsidRPr="001F21EC">
              <w:rPr>
                <w:color w:val="FFFFFF" w:themeColor="background1"/>
                <w:lang w:val="nl-NL"/>
              </w:rPr>
              <w:t xml:space="preserve">DEEL 2: AANSTELLINGSPROCEDURE,  WET VAN 17 JUNI 2016, </w:t>
            </w:r>
            <w:r w:rsidR="001F21EC" w:rsidRPr="001F21EC">
              <w:rPr>
                <w:color w:val="FFFFFF" w:themeColor="background1"/>
                <w:lang w:val="nl-NL"/>
              </w:rPr>
              <w:t>A</w:t>
            </w:r>
            <w:r w:rsidR="001F21EC">
              <w:rPr>
                <w:color w:val="FFFFFF" w:themeColor="background1"/>
                <w:lang w:val="nl-NL"/>
              </w:rPr>
              <w:t>rt.</w:t>
            </w:r>
            <w:r w:rsidR="001F21EC" w:rsidRPr="001F21EC">
              <w:rPr>
                <w:color w:val="FFFFFF" w:themeColor="background1"/>
                <w:lang w:val="nl-NL"/>
              </w:rPr>
              <w:t xml:space="preserve">84 : Indiening van de offerte </w:t>
            </w:r>
            <w:r w:rsidRPr="001F21EC">
              <w:rPr>
                <w:color w:val="FFFFFF" w:themeColor="background1"/>
                <w:lang w:val="nl-NL"/>
              </w:rPr>
              <w:t>(pagina 2</w:t>
            </w:r>
            <w:r w:rsidR="00A269BD">
              <w:rPr>
                <w:color w:val="FFFFFF" w:themeColor="background1"/>
                <w:lang w:val="nl-NL"/>
              </w:rPr>
              <w:t>1</w:t>
            </w:r>
            <w:r w:rsidRPr="001F21EC">
              <w:rPr>
                <w:color w:val="FFFFFF" w:themeColor="background1"/>
                <w:lang w:val="nl-NL"/>
              </w:rPr>
              <w:t>)</w:t>
            </w:r>
          </w:p>
        </w:tc>
      </w:tr>
      <w:tr w:rsidR="007A0028" w:rsidRPr="001F21EC" w14:paraId="46667C06" w14:textId="77777777" w:rsidTr="00C07FC2">
        <w:trPr>
          <w:trHeight w:val="851"/>
        </w:trPr>
        <w:tc>
          <w:tcPr>
            <w:tcW w:w="4957" w:type="dxa"/>
            <w:vAlign w:val="center"/>
          </w:tcPr>
          <w:p w14:paraId="118E017F" w14:textId="48F53717" w:rsidR="007A0028" w:rsidRDefault="00AA43A0" w:rsidP="00C07FC2">
            <w:pPr>
              <w:spacing w:after="60"/>
              <w:jc w:val="both"/>
              <w:rPr>
                <w:rStyle w:val="eop"/>
                <w:color w:val="3E5B7B"/>
                <w:shd w:val="clear" w:color="auto" w:fill="FFFFFF"/>
              </w:rPr>
            </w:pPr>
            <w:r w:rsidRPr="00AA43A0">
              <w:rPr>
                <w:rStyle w:val="normaltextrun"/>
                <w:color w:val="000000"/>
                <w:shd w:val="clear" w:color="auto" w:fill="FFFFFF"/>
                <w:lang w:val="fr-BE"/>
              </w:rPr>
              <w:t>« </w:t>
            </w:r>
            <w:r>
              <w:rPr>
                <w:rStyle w:val="Grilledutableau"/>
                <w:color w:val="000000"/>
                <w:shd w:val="clear" w:color="auto" w:fill="FFFFFF"/>
                <w:lang w:val="fr-BE"/>
              </w:rPr>
              <w:t xml:space="preserve"> </w:t>
            </w:r>
            <w:r>
              <w:rPr>
                <w:rStyle w:val="normaltextrun"/>
                <w:color w:val="000000"/>
                <w:shd w:val="clear" w:color="auto" w:fill="FFFFFF"/>
                <w:lang w:val="fr-BE"/>
              </w:rPr>
              <w:t>L’ensemble des documents constitutifs de l’offre doit être remis au pouvoir adjudicateur de manière électronique, par le biais de la plateforme e-tendering (e-procurement) au plus tard avant l’ouverture des offres qui aura lieu le</w:t>
            </w:r>
            <w:r>
              <w:rPr>
                <w:rStyle w:val="normaltextrun"/>
                <w:color w:val="9BBB59"/>
                <w:shd w:val="clear" w:color="auto" w:fill="FFFFFF"/>
                <w:lang w:val="fr-BE"/>
              </w:rPr>
              <w:t xml:space="preserve"> </w:t>
            </w:r>
            <w:r>
              <w:rPr>
                <w:rStyle w:val="normaltextrun"/>
                <w:b/>
                <w:bCs/>
                <w:i/>
                <w:iCs/>
                <w:color w:val="3E5B7B"/>
                <w:shd w:val="clear" w:color="auto" w:fill="FFFFFF"/>
              </w:rPr>
              <w:t>[Date d’ouverture des soumissions]</w:t>
            </w:r>
            <w:r>
              <w:rPr>
                <w:rStyle w:val="normaltextrun"/>
                <w:color w:val="000000"/>
                <w:shd w:val="clear" w:color="auto" w:fill="FFFFFF"/>
                <w:lang w:val="fr-BE"/>
              </w:rPr>
              <w:t xml:space="preserve"> à </w:t>
            </w:r>
            <w:r>
              <w:rPr>
                <w:rStyle w:val="normaltextrun"/>
                <w:b/>
                <w:bCs/>
                <w:i/>
                <w:iCs/>
                <w:color w:val="3E5B7B"/>
                <w:shd w:val="clear" w:color="auto" w:fill="FFFFFF"/>
              </w:rPr>
              <w:t>[Heure d’ouverture des soumissions].</w:t>
            </w:r>
            <w:r w:rsidR="006D6716">
              <w:rPr>
                <w:rStyle w:val="normaltextrun"/>
                <w:b/>
                <w:bCs/>
                <w:i/>
                <w:iCs/>
              </w:rPr>
              <w:t> »</w:t>
            </w:r>
          </w:p>
          <w:p w14:paraId="08DCF9E5" w14:textId="77777777" w:rsidR="00AA43A0" w:rsidRDefault="00AA43A0" w:rsidP="00C07FC2">
            <w:pPr>
              <w:spacing w:after="60"/>
              <w:jc w:val="both"/>
              <w:rPr>
                <w:rStyle w:val="eop"/>
                <w:color w:val="3E5B7B"/>
                <w:shd w:val="clear" w:color="auto" w:fill="FFFFFF"/>
              </w:rPr>
            </w:pPr>
          </w:p>
          <w:p w14:paraId="6141264F" w14:textId="77777777" w:rsidR="00AA43A0" w:rsidRPr="006D6716" w:rsidRDefault="00AA43A0" w:rsidP="00C07FC2">
            <w:pPr>
              <w:spacing w:after="60"/>
              <w:jc w:val="both"/>
              <w:rPr>
                <w:rStyle w:val="eop"/>
                <w:b/>
                <w:bCs/>
                <w:shd w:val="clear" w:color="auto" w:fill="FFFFFF"/>
              </w:rPr>
            </w:pPr>
            <w:r w:rsidRPr="006D6716">
              <w:rPr>
                <w:rStyle w:val="eop"/>
                <w:b/>
                <w:bCs/>
                <w:shd w:val="clear" w:color="auto" w:fill="FFFFFF"/>
              </w:rPr>
              <w:t>Est remplacé par :</w:t>
            </w:r>
          </w:p>
          <w:p w14:paraId="6FD81E7D" w14:textId="77777777" w:rsidR="00AA43A0" w:rsidRPr="006D6716" w:rsidRDefault="00AA43A0" w:rsidP="00C07FC2">
            <w:pPr>
              <w:spacing w:after="60"/>
              <w:jc w:val="both"/>
              <w:rPr>
                <w:rStyle w:val="eop"/>
                <w:shd w:val="clear" w:color="auto" w:fill="FFFFFF"/>
              </w:rPr>
            </w:pPr>
          </w:p>
          <w:p w14:paraId="1890D1A7" w14:textId="6A8CED02" w:rsidR="00220098" w:rsidRPr="00220098" w:rsidRDefault="00AA43A0" w:rsidP="00220098">
            <w:pPr>
              <w:jc w:val="both"/>
              <w:rPr>
                <w:rFonts w:eastAsia="Calibri" w:cs="Calibri"/>
                <w:lang w:val="fr-BE"/>
              </w:rPr>
            </w:pPr>
            <w:r w:rsidRPr="006D6716">
              <w:rPr>
                <w:rStyle w:val="eop"/>
                <w:shd w:val="clear" w:color="auto" w:fill="FFFFFF"/>
              </w:rPr>
              <w:t>« </w:t>
            </w:r>
            <w:r w:rsidR="006D6716" w:rsidRPr="006D6716">
              <w:t xml:space="preserve"> </w:t>
            </w:r>
            <w:r w:rsidR="00220098" w:rsidRPr="00220098">
              <w:rPr>
                <w:rFonts w:eastAsia="Calibri" w:cs="Calibri"/>
                <w:lang w:val="fr-BE"/>
              </w:rPr>
              <w:t xml:space="preserve"> </w:t>
            </w:r>
            <w:r w:rsidR="00220098" w:rsidRPr="00220098">
              <w:rPr>
                <w:rFonts w:eastAsia="Calibri" w:cs="Calibri"/>
                <w:lang w:val="fr-BE"/>
              </w:rPr>
              <w:t xml:space="preserve">L’ensemble des documents constitutifs de l’offre doit être remis au pouvoir adjudicateur de manière électronique, par le biais de la plateforme e-procurement au plus tard avant l’ouverture des offres qui aura lieu </w:t>
            </w:r>
            <w:r w:rsidR="00220098" w:rsidRPr="00220098">
              <w:rPr>
                <w:rFonts w:eastAsia="Calibri" w:cs="Times New Roman"/>
                <w:lang w:val="fr-BE"/>
              </w:rPr>
              <w:t>le</w:t>
            </w:r>
            <w:r w:rsidR="00220098" w:rsidRPr="00220098">
              <w:rPr>
                <w:rFonts w:eastAsia="Calibri" w:cs="Times New Roman"/>
                <w:color w:val="9BBB59"/>
                <w:lang w:val="fr-BE"/>
              </w:rPr>
              <w:t xml:space="preserve"> </w:t>
            </w:r>
            <w:r w:rsidR="00220098" w:rsidRPr="00220098">
              <w:rPr>
                <w:rFonts w:eastAsia="Calibri" w:cs="Times New Roman"/>
                <w:b/>
                <w:i/>
                <w:color w:val="3E5B7B"/>
                <w:lang w:eastAsia="fr-FR"/>
              </w:rPr>
              <w:t>[Date d’ouverture des soumissions]</w:t>
            </w:r>
            <w:r w:rsidR="00220098" w:rsidRPr="00220098">
              <w:rPr>
                <w:rFonts w:eastAsia="Calibri" w:cs="Times New Roman"/>
                <w:lang w:val="fr-BE"/>
              </w:rPr>
              <w:t xml:space="preserve"> à </w:t>
            </w:r>
            <w:r w:rsidR="00220098" w:rsidRPr="00220098">
              <w:rPr>
                <w:rFonts w:eastAsia="Calibri" w:cs="Times New Roman"/>
                <w:b/>
                <w:i/>
                <w:color w:val="3E5B7B"/>
                <w:lang w:eastAsia="fr-FR"/>
              </w:rPr>
              <w:t>[Heure d’ouverture des soumissions].</w:t>
            </w:r>
          </w:p>
          <w:p w14:paraId="5A77B958" w14:textId="06C7A340" w:rsidR="00AA43A0" w:rsidRPr="007A0028" w:rsidRDefault="006D6716" w:rsidP="00C07FC2">
            <w:pPr>
              <w:spacing w:after="60"/>
              <w:jc w:val="both"/>
              <w:rPr>
                <w:rFonts w:eastAsia="Times New Roman" w:cs="Arial"/>
                <w:b/>
                <w:bCs/>
                <w:lang w:eastAsia="fr-FR"/>
              </w:rPr>
            </w:pPr>
            <w:r w:rsidRPr="006D6716">
              <w:rPr>
                <w:rStyle w:val="eop"/>
                <w:shd w:val="clear" w:color="auto" w:fill="FFFFFF"/>
              </w:rPr>
              <w:t>»</w:t>
            </w:r>
          </w:p>
        </w:tc>
        <w:tc>
          <w:tcPr>
            <w:tcW w:w="4105" w:type="dxa"/>
            <w:vAlign w:val="center"/>
          </w:tcPr>
          <w:p w14:paraId="68977476" w14:textId="4B8AD3F6" w:rsidR="007A0028" w:rsidRDefault="001F21EC" w:rsidP="001F21EC">
            <w:pPr>
              <w:spacing w:after="60"/>
              <w:jc w:val="both"/>
              <w:rPr>
                <w:lang w:val="nl-NL"/>
              </w:rPr>
            </w:pPr>
            <w:r w:rsidRPr="001F21EC">
              <w:rPr>
                <w:lang w:val="nl-NL"/>
              </w:rPr>
              <w:t>« </w:t>
            </w:r>
            <w:r w:rsidR="005F1B96">
              <w:rPr>
                <w:rStyle w:val="normaltextrun"/>
                <w:color w:val="000000"/>
                <w:shd w:val="clear" w:color="auto" w:fill="FFFFFF"/>
                <w:lang w:val="nl-NL"/>
              </w:rPr>
              <w:t>Alle offertedocumenten moeten elektronisch aan de aanbestedende overheid worden bezorgd via het e-</w:t>
            </w:r>
            <w:proofErr w:type="spellStart"/>
            <w:r w:rsidR="005F1B96">
              <w:rPr>
                <w:rStyle w:val="normaltextrun"/>
                <w:color w:val="000000"/>
                <w:shd w:val="clear" w:color="auto" w:fill="FFFFFF"/>
                <w:lang w:val="nl-NL"/>
              </w:rPr>
              <w:t>tenderingplatform</w:t>
            </w:r>
            <w:proofErr w:type="spellEnd"/>
            <w:r w:rsidR="005F1B96">
              <w:rPr>
                <w:rStyle w:val="normaltextrun"/>
                <w:color w:val="000000"/>
                <w:shd w:val="clear" w:color="auto" w:fill="FFFFFF"/>
                <w:lang w:val="nl-NL"/>
              </w:rPr>
              <w:t xml:space="preserve"> (</w:t>
            </w:r>
            <w:proofErr w:type="spellStart"/>
            <w:r w:rsidR="005F1B96">
              <w:rPr>
                <w:rStyle w:val="normaltextrun"/>
                <w:color w:val="000000"/>
                <w:shd w:val="clear" w:color="auto" w:fill="FFFFFF"/>
                <w:lang w:val="nl-NL"/>
              </w:rPr>
              <w:t>e-procurement</w:t>
            </w:r>
            <w:proofErr w:type="spellEnd"/>
            <w:r w:rsidR="005F1B96">
              <w:rPr>
                <w:rStyle w:val="normaltextrun"/>
                <w:color w:val="000000"/>
                <w:shd w:val="clear" w:color="auto" w:fill="FFFFFF"/>
                <w:lang w:val="nl-NL"/>
              </w:rPr>
              <w:t>), en dit ten laatste vóór de opening van de offertes die plaatsvindt op</w:t>
            </w:r>
            <w:r w:rsidR="005F1B96">
              <w:rPr>
                <w:rStyle w:val="normaltextrun"/>
                <w:color w:val="9BBB59"/>
                <w:shd w:val="clear" w:color="auto" w:fill="FFFFFF"/>
                <w:lang w:val="nl-NL"/>
              </w:rPr>
              <w:t xml:space="preserve"> </w:t>
            </w:r>
            <w:r w:rsidR="005F1B96">
              <w:rPr>
                <w:rStyle w:val="normaltextrun"/>
                <w:b/>
                <w:bCs/>
                <w:i/>
                <w:iCs/>
                <w:color w:val="1F497D"/>
                <w:shd w:val="clear" w:color="auto" w:fill="FFFFFF"/>
                <w:lang w:val="nl-NL"/>
              </w:rPr>
              <w:t>[Datum opening inschrijvingen]</w:t>
            </w:r>
            <w:r w:rsidR="005F1B96">
              <w:rPr>
                <w:rStyle w:val="normaltextrun"/>
                <w:color w:val="000000"/>
                <w:shd w:val="clear" w:color="auto" w:fill="FFFFFF"/>
                <w:lang w:val="nl-NL"/>
              </w:rPr>
              <w:t xml:space="preserve"> om </w:t>
            </w:r>
            <w:r w:rsidR="005F1B96">
              <w:rPr>
                <w:rStyle w:val="normaltextrun"/>
                <w:b/>
                <w:bCs/>
                <w:i/>
                <w:iCs/>
                <w:color w:val="1F497D"/>
                <w:shd w:val="clear" w:color="auto" w:fill="FFFFFF"/>
                <w:lang w:val="nl-NL"/>
              </w:rPr>
              <w:t>[Uur opening inschrijvingen].</w:t>
            </w:r>
            <w:r w:rsidR="005F1B96" w:rsidRPr="005F1B96">
              <w:rPr>
                <w:rStyle w:val="eop"/>
                <w:color w:val="1F497D"/>
                <w:shd w:val="clear" w:color="auto" w:fill="FFFFFF"/>
                <w:lang w:val="nl-NL"/>
              </w:rPr>
              <w:t> </w:t>
            </w:r>
            <w:r>
              <w:rPr>
                <w:lang w:val="nl-NL"/>
              </w:rPr>
              <w:t>”</w:t>
            </w:r>
          </w:p>
          <w:p w14:paraId="24EF7936" w14:textId="77777777" w:rsidR="001F21EC" w:rsidRDefault="001F21EC" w:rsidP="001F21EC">
            <w:pPr>
              <w:spacing w:after="60"/>
              <w:jc w:val="both"/>
              <w:rPr>
                <w:lang w:val="nl-NL"/>
              </w:rPr>
            </w:pPr>
          </w:p>
          <w:p w14:paraId="6E5993BA" w14:textId="77777777" w:rsidR="00220098" w:rsidRDefault="00220098" w:rsidP="001F21EC">
            <w:pPr>
              <w:spacing w:after="60"/>
              <w:jc w:val="both"/>
              <w:rPr>
                <w:lang w:val="nl-NL"/>
              </w:rPr>
            </w:pPr>
          </w:p>
          <w:p w14:paraId="2338F164" w14:textId="77777777" w:rsidR="001F21EC" w:rsidRDefault="001F21EC" w:rsidP="001F21EC">
            <w:pPr>
              <w:spacing w:after="60"/>
              <w:jc w:val="both"/>
              <w:rPr>
                <w:rStyle w:val="eop"/>
                <w:color w:val="000000"/>
                <w:shd w:val="clear" w:color="auto" w:fill="FFFFFF"/>
                <w:lang w:val="nl-NL"/>
              </w:rPr>
            </w:pPr>
            <w:r>
              <w:rPr>
                <w:rStyle w:val="normaltextrun"/>
                <w:b/>
                <w:bCs/>
                <w:color w:val="000000"/>
                <w:shd w:val="clear" w:color="auto" w:fill="FFFFFF"/>
                <w:lang w:val="nl-NL"/>
              </w:rPr>
              <w:t>Vervangen door : </w:t>
            </w:r>
            <w:r w:rsidRPr="00EC60C7">
              <w:rPr>
                <w:rStyle w:val="eop"/>
                <w:color w:val="000000"/>
                <w:shd w:val="clear" w:color="auto" w:fill="FFFFFF"/>
                <w:lang w:val="nl-NL"/>
              </w:rPr>
              <w:t> </w:t>
            </w:r>
          </w:p>
          <w:p w14:paraId="7541B795" w14:textId="77777777" w:rsidR="00A269BD" w:rsidRDefault="00A269BD" w:rsidP="001F21EC">
            <w:pPr>
              <w:spacing w:after="60"/>
              <w:jc w:val="both"/>
              <w:rPr>
                <w:rStyle w:val="eop"/>
                <w:color w:val="000000"/>
                <w:shd w:val="clear" w:color="auto" w:fill="FFFFFF"/>
                <w:lang w:val="nl-NL"/>
              </w:rPr>
            </w:pPr>
          </w:p>
          <w:p w14:paraId="7B7C03AD" w14:textId="5B622000" w:rsidR="00A269BD" w:rsidRPr="00EC60C7" w:rsidRDefault="00A269BD" w:rsidP="00220098">
            <w:pPr>
              <w:jc w:val="both"/>
              <w:rPr>
                <w:rStyle w:val="eop"/>
                <w:color w:val="000000"/>
                <w:shd w:val="clear" w:color="auto" w:fill="FFFFFF"/>
                <w:lang w:val="nl-NL"/>
              </w:rPr>
            </w:pPr>
            <w:r>
              <w:rPr>
                <w:rStyle w:val="eop"/>
                <w:color w:val="000000"/>
                <w:shd w:val="clear" w:color="auto" w:fill="FFFFFF"/>
                <w:lang w:val="nl-NL"/>
              </w:rPr>
              <w:t>“</w:t>
            </w:r>
            <w:r w:rsidR="0021411C" w:rsidRPr="0021411C">
              <w:rPr>
                <w:rFonts w:eastAsia="Calibri" w:cs="Times New Roman"/>
                <w:lang w:val="nl-NL"/>
              </w:rPr>
              <w:t>Alle offertedocumenten moeten elektronisch aan de aanbestedende overheid worden bezorgd via het e-</w:t>
            </w:r>
            <w:proofErr w:type="spellStart"/>
            <w:r w:rsidR="0021411C" w:rsidRPr="0021411C">
              <w:rPr>
                <w:rFonts w:eastAsia="Calibri" w:cs="Times New Roman"/>
                <w:lang w:val="nl-NL"/>
              </w:rPr>
              <w:t>Procurementplatform</w:t>
            </w:r>
            <w:proofErr w:type="spellEnd"/>
            <w:r w:rsidR="0021411C" w:rsidRPr="0021411C">
              <w:rPr>
                <w:rFonts w:eastAsia="Calibri" w:cs="Times New Roman"/>
                <w:lang w:val="nl-NL"/>
              </w:rPr>
              <w:t>, en dit ten laatste vóór de opening van de offertes die plaatsvindt op</w:t>
            </w:r>
            <w:r w:rsidR="0021411C" w:rsidRPr="0021411C">
              <w:rPr>
                <w:rFonts w:eastAsia="Calibri" w:cs="Times New Roman"/>
                <w:color w:val="9BBB59"/>
                <w:lang w:val="nl-NL"/>
              </w:rPr>
              <w:t xml:space="preserve"> </w:t>
            </w:r>
            <w:r w:rsidR="0021411C" w:rsidRPr="0021411C">
              <w:rPr>
                <w:rFonts w:eastAsia="Calibri" w:cs="Times New Roman"/>
                <w:b/>
                <w:i/>
                <w:color w:val="1F497D"/>
                <w:lang w:val="nl-NL" w:eastAsia="fr-FR"/>
              </w:rPr>
              <w:t xml:space="preserve">[Datum </w:t>
            </w:r>
            <w:bookmarkStart w:id="7" w:name="_Hlk31457459"/>
            <w:r w:rsidR="0021411C" w:rsidRPr="0021411C">
              <w:rPr>
                <w:rFonts w:eastAsia="Calibri" w:cs="Times New Roman"/>
                <w:b/>
                <w:i/>
                <w:color w:val="1F497D"/>
                <w:lang w:val="nl-NL" w:eastAsia="fr-FR"/>
              </w:rPr>
              <w:t>opening inschrijvingen</w:t>
            </w:r>
            <w:bookmarkEnd w:id="7"/>
            <w:r w:rsidR="0021411C" w:rsidRPr="0021411C">
              <w:rPr>
                <w:rFonts w:eastAsia="Calibri" w:cs="Times New Roman"/>
                <w:b/>
                <w:i/>
                <w:color w:val="1F497D"/>
                <w:lang w:val="nl-NL" w:eastAsia="fr-FR"/>
              </w:rPr>
              <w:t>]</w:t>
            </w:r>
            <w:r w:rsidR="0021411C" w:rsidRPr="0021411C">
              <w:rPr>
                <w:rFonts w:eastAsia="Calibri" w:cs="Times New Roman"/>
                <w:lang w:val="nl-NL"/>
              </w:rPr>
              <w:t xml:space="preserve"> om </w:t>
            </w:r>
            <w:r w:rsidR="0021411C" w:rsidRPr="0021411C">
              <w:rPr>
                <w:rFonts w:eastAsia="Calibri" w:cs="Times New Roman"/>
                <w:b/>
                <w:i/>
                <w:color w:val="1F497D"/>
                <w:lang w:val="nl-NL" w:eastAsia="fr-FR"/>
              </w:rPr>
              <w:t>[Uur opening inschrijvingen].</w:t>
            </w:r>
            <w:r w:rsidR="0021411C">
              <w:rPr>
                <w:rFonts w:eastAsia="Calibri" w:cs="Times New Roman"/>
                <w:b/>
                <w:i/>
                <w:color w:val="1F497D"/>
                <w:lang w:val="nl-NL" w:eastAsia="fr-FR"/>
              </w:rPr>
              <w:t>”</w:t>
            </w:r>
          </w:p>
          <w:p w14:paraId="7B984F6B" w14:textId="77777777" w:rsidR="001F21EC" w:rsidRDefault="001F21EC" w:rsidP="001F21EC">
            <w:pPr>
              <w:spacing w:after="60"/>
              <w:jc w:val="both"/>
              <w:rPr>
                <w:lang w:val="nl-NL"/>
              </w:rPr>
            </w:pPr>
          </w:p>
          <w:p w14:paraId="3E0E51D7" w14:textId="095897A4" w:rsidR="001F21EC" w:rsidRPr="001F21EC" w:rsidRDefault="001F21EC" w:rsidP="001F21EC">
            <w:pPr>
              <w:spacing w:after="60"/>
              <w:jc w:val="both"/>
              <w:rPr>
                <w:lang w:val="nl-NL"/>
              </w:rPr>
            </w:pPr>
          </w:p>
        </w:tc>
      </w:tr>
      <w:tr w:rsidR="00220098" w:rsidRPr="00EE47FD" w14:paraId="192F483A" w14:textId="77777777" w:rsidTr="00840373">
        <w:trPr>
          <w:trHeight w:val="851"/>
        </w:trPr>
        <w:tc>
          <w:tcPr>
            <w:tcW w:w="4957" w:type="dxa"/>
            <w:shd w:val="clear" w:color="auto" w:fill="00A4B7"/>
            <w:vAlign w:val="center"/>
          </w:tcPr>
          <w:p w14:paraId="1C12F1AF" w14:textId="3D26AC3B" w:rsidR="00220098" w:rsidRPr="00AA43A0" w:rsidRDefault="00840373" w:rsidP="00C07FC2">
            <w:pPr>
              <w:spacing w:after="60"/>
              <w:jc w:val="both"/>
              <w:rPr>
                <w:rStyle w:val="normaltextrun"/>
                <w:color w:val="000000"/>
                <w:shd w:val="clear" w:color="auto" w:fill="FFFFFF"/>
                <w:lang w:val="fr-BE"/>
              </w:rPr>
            </w:pPr>
            <w:r w:rsidRPr="00840373">
              <w:rPr>
                <w:color w:val="FFFFFF" w:themeColor="background1"/>
              </w:rPr>
              <w:t>PARTIE 3 : EXECUTION DU MARCHE – Clauses administratives</w:t>
            </w:r>
            <w:r w:rsidR="009223C4">
              <w:rPr>
                <w:color w:val="FFFFFF" w:themeColor="background1"/>
              </w:rPr>
              <w:t xml:space="preserve">, </w:t>
            </w:r>
            <w:r w:rsidR="009223C4">
              <w:t xml:space="preserve"> </w:t>
            </w:r>
            <w:r w:rsidR="009223C4" w:rsidRPr="009223C4">
              <w:rPr>
                <w:color w:val="FFFFFF" w:themeColor="background1"/>
              </w:rPr>
              <w:t>AR DU 14 JANVIER 2013</w:t>
            </w:r>
            <w:r w:rsidR="009223C4">
              <w:rPr>
                <w:color w:val="FFFFFF" w:themeColor="background1"/>
              </w:rPr>
              <w:t xml:space="preserve">, </w:t>
            </w:r>
            <w:r w:rsidR="000C74E3">
              <w:t xml:space="preserve"> </w:t>
            </w:r>
            <w:r w:rsidR="000C74E3" w:rsidRPr="000C74E3">
              <w:rPr>
                <w:color w:val="FFFFFF" w:themeColor="background1"/>
              </w:rPr>
              <w:t>Art. 66 : Conditions générales de paiement</w:t>
            </w:r>
            <w:r w:rsidR="000C74E3">
              <w:rPr>
                <w:color w:val="FFFFFF" w:themeColor="background1"/>
              </w:rPr>
              <w:t xml:space="preserve">, </w:t>
            </w:r>
            <w:r w:rsidR="00216449">
              <w:t xml:space="preserve"> </w:t>
            </w:r>
            <w:r w:rsidR="00216449" w:rsidRPr="00216449">
              <w:rPr>
                <w:color w:val="FFFFFF" w:themeColor="background1"/>
              </w:rPr>
              <w:t>1.</w:t>
            </w:r>
            <w:r w:rsidR="00216449" w:rsidRPr="00216449">
              <w:rPr>
                <w:color w:val="FFFFFF" w:themeColor="background1"/>
              </w:rPr>
              <w:tab/>
              <w:t>Honoraires de base</w:t>
            </w:r>
            <w:r w:rsidR="00216449">
              <w:rPr>
                <w:color w:val="FFFFFF" w:themeColor="background1"/>
              </w:rPr>
              <w:t xml:space="preserve">, </w:t>
            </w:r>
            <w:r w:rsidR="002B63AB" w:rsidRPr="002B63AB">
              <w:rPr>
                <w:color w:val="FFFFFF" w:themeColor="background1"/>
              </w:rPr>
              <w:t>1.3. Exigibilité</w:t>
            </w:r>
            <w:r w:rsidR="002B63AB">
              <w:rPr>
                <w:color w:val="FFFFFF" w:themeColor="background1"/>
              </w:rPr>
              <w:t xml:space="preserve"> (page </w:t>
            </w:r>
            <w:r w:rsidR="00C4137A">
              <w:rPr>
                <w:color w:val="FFFFFF" w:themeColor="background1"/>
              </w:rPr>
              <w:t>31)</w:t>
            </w:r>
          </w:p>
        </w:tc>
        <w:tc>
          <w:tcPr>
            <w:tcW w:w="4105" w:type="dxa"/>
            <w:shd w:val="clear" w:color="auto" w:fill="00A4B7"/>
            <w:vAlign w:val="center"/>
          </w:tcPr>
          <w:p w14:paraId="1DCE94CD" w14:textId="4EBE100D" w:rsidR="00220098" w:rsidRPr="00EE47FD" w:rsidRDefault="00BF4F91" w:rsidP="001F21EC">
            <w:pPr>
              <w:spacing w:after="60"/>
              <w:jc w:val="both"/>
              <w:rPr>
                <w:color w:val="FFFFFF" w:themeColor="background1"/>
              </w:rPr>
            </w:pPr>
            <w:r w:rsidRPr="00EE47FD">
              <w:rPr>
                <w:color w:val="FFFFFF" w:themeColor="background1"/>
              </w:rPr>
              <w:t>DEEL 3: UITVOERING VAN DE OPDRACHT - Administratieve bepalingen</w:t>
            </w:r>
            <w:r w:rsidRPr="00EE47FD">
              <w:rPr>
                <w:color w:val="FFFFFF" w:themeColor="background1"/>
              </w:rPr>
              <w:t xml:space="preserve">, </w:t>
            </w:r>
            <w:r w:rsidR="00F642E6" w:rsidRPr="00EE47FD">
              <w:rPr>
                <w:color w:val="FFFFFF" w:themeColor="background1"/>
              </w:rPr>
              <w:t xml:space="preserve"> </w:t>
            </w:r>
            <w:r w:rsidR="00F642E6" w:rsidRPr="00EE47FD">
              <w:rPr>
                <w:color w:val="FFFFFF" w:themeColor="background1"/>
              </w:rPr>
              <w:t>KB VAN 14 JANUARI 2013</w:t>
            </w:r>
            <w:r w:rsidR="00F642E6" w:rsidRPr="00EE47FD">
              <w:rPr>
                <w:color w:val="FFFFFF" w:themeColor="background1"/>
              </w:rPr>
              <w:t xml:space="preserve">, </w:t>
            </w:r>
            <w:r w:rsidR="00425250" w:rsidRPr="00EE47FD">
              <w:rPr>
                <w:color w:val="FFFFFF" w:themeColor="background1"/>
              </w:rPr>
              <w:t xml:space="preserve"> </w:t>
            </w:r>
            <w:r w:rsidR="00425250" w:rsidRPr="00EE47FD">
              <w:rPr>
                <w:color w:val="FFFFFF" w:themeColor="background1"/>
              </w:rPr>
              <w:t>Art. 66 : Algemene betalingsvoorwaarden</w:t>
            </w:r>
            <w:r w:rsidR="00425250" w:rsidRPr="00EE47FD">
              <w:rPr>
                <w:color w:val="FFFFFF" w:themeColor="background1"/>
              </w:rPr>
              <w:t xml:space="preserve">, </w:t>
            </w:r>
            <w:r w:rsidR="006213A6" w:rsidRPr="00EE47FD">
              <w:rPr>
                <w:color w:val="FFFFFF" w:themeColor="background1"/>
              </w:rPr>
              <w:t xml:space="preserve"> </w:t>
            </w:r>
            <w:r w:rsidR="006213A6" w:rsidRPr="00EE47FD">
              <w:rPr>
                <w:color w:val="FFFFFF" w:themeColor="background1"/>
              </w:rPr>
              <w:t>1.</w:t>
            </w:r>
            <w:r w:rsidR="006213A6" w:rsidRPr="00EE47FD">
              <w:rPr>
                <w:color w:val="FFFFFF" w:themeColor="background1"/>
              </w:rPr>
              <w:tab/>
              <w:t>Basishonoraria</w:t>
            </w:r>
            <w:r w:rsidR="006213A6" w:rsidRPr="00EE47FD">
              <w:rPr>
                <w:color w:val="FFFFFF" w:themeColor="background1"/>
              </w:rPr>
              <w:t xml:space="preserve">, </w:t>
            </w:r>
            <w:r w:rsidR="00D918AE" w:rsidRPr="00EE47FD">
              <w:rPr>
                <w:color w:val="FFFFFF" w:themeColor="background1"/>
              </w:rPr>
              <w:t>1.3. Eisbaarheid</w:t>
            </w:r>
            <w:r w:rsidR="00D918AE" w:rsidRPr="00EE47FD">
              <w:rPr>
                <w:color w:val="FFFFFF" w:themeColor="background1"/>
              </w:rPr>
              <w:t xml:space="preserve"> (pagina </w:t>
            </w:r>
            <w:r w:rsidR="00B8697D" w:rsidRPr="00EE47FD">
              <w:rPr>
                <w:color w:val="FFFFFF" w:themeColor="background1"/>
              </w:rPr>
              <w:t>33)</w:t>
            </w:r>
          </w:p>
        </w:tc>
      </w:tr>
      <w:tr w:rsidR="00220098" w:rsidRPr="00B8697D" w14:paraId="40D87AA8" w14:textId="77777777" w:rsidTr="00C07FC2">
        <w:trPr>
          <w:trHeight w:val="851"/>
        </w:trPr>
        <w:tc>
          <w:tcPr>
            <w:tcW w:w="4957" w:type="dxa"/>
            <w:vAlign w:val="center"/>
          </w:tcPr>
          <w:p w14:paraId="5C681F95" w14:textId="77777777" w:rsidR="00220098" w:rsidRDefault="00DD0C92" w:rsidP="00C07FC2">
            <w:pPr>
              <w:spacing w:after="60"/>
              <w:jc w:val="both"/>
              <w:rPr>
                <w:rStyle w:val="normaltextrun"/>
                <w:color w:val="000000"/>
                <w:shd w:val="clear" w:color="auto" w:fill="FFFFFF"/>
              </w:rPr>
            </w:pPr>
            <w:r>
              <w:rPr>
                <w:rStyle w:val="normaltextrun"/>
                <w:color w:val="000000"/>
                <w:shd w:val="clear" w:color="auto" w:fill="FFFFFF"/>
                <w:lang w:val="fr-BE"/>
              </w:rPr>
              <w:t>« </w:t>
            </w:r>
            <w:r w:rsidRPr="00DD0C92">
              <w:rPr>
                <w:rStyle w:val="normaltextrun"/>
                <w:color w:val="000000"/>
                <w:shd w:val="clear" w:color="auto" w:fill="FFFFFF"/>
                <w:lang w:val="fr-BE"/>
              </w:rPr>
              <w:t>Le prix du marché est liquidé après l’exécution complète de la mission. Cependant, afin d’éviter des problèmes de trésorerie à l’auteur de projet, il est prévu que le prix du marché soit payé par acomptes.</w:t>
            </w:r>
            <w:r>
              <w:rPr>
                <w:rStyle w:val="normaltextrun"/>
                <w:color w:val="000000"/>
                <w:shd w:val="clear" w:color="auto" w:fill="FFFFFF"/>
                <w:lang w:val="fr-BE"/>
              </w:rPr>
              <w:t> »</w:t>
            </w:r>
          </w:p>
          <w:p w14:paraId="41301EE4" w14:textId="77777777" w:rsidR="00DD0C92" w:rsidRDefault="00DD0C92" w:rsidP="00C07FC2">
            <w:pPr>
              <w:spacing w:after="60"/>
              <w:jc w:val="both"/>
              <w:rPr>
                <w:rStyle w:val="normaltextrun"/>
                <w:color w:val="000000"/>
                <w:shd w:val="clear" w:color="auto" w:fill="FFFFFF"/>
              </w:rPr>
            </w:pPr>
          </w:p>
          <w:p w14:paraId="2B1CDE76" w14:textId="77777777" w:rsidR="00DD0C92" w:rsidRPr="00502BAE" w:rsidRDefault="00DD0C92" w:rsidP="00C07FC2">
            <w:pPr>
              <w:spacing w:after="60"/>
              <w:jc w:val="both"/>
              <w:rPr>
                <w:rStyle w:val="normaltextrun"/>
                <w:b/>
                <w:bCs/>
                <w:color w:val="000000"/>
                <w:shd w:val="clear" w:color="auto" w:fill="FFFFFF"/>
              </w:rPr>
            </w:pPr>
            <w:r w:rsidRPr="00502BAE">
              <w:rPr>
                <w:rStyle w:val="normaltextrun"/>
                <w:b/>
                <w:bCs/>
                <w:color w:val="000000"/>
                <w:shd w:val="clear" w:color="auto" w:fill="FFFFFF"/>
              </w:rPr>
              <w:t>Est remplacé par :</w:t>
            </w:r>
          </w:p>
          <w:p w14:paraId="450BD4F3" w14:textId="77777777" w:rsidR="00DD0C92" w:rsidRDefault="00DD0C92" w:rsidP="00C07FC2">
            <w:pPr>
              <w:spacing w:after="60"/>
              <w:jc w:val="both"/>
              <w:rPr>
                <w:rStyle w:val="normaltextrun"/>
                <w:color w:val="000000"/>
                <w:shd w:val="clear" w:color="auto" w:fill="FFFFFF"/>
              </w:rPr>
            </w:pPr>
          </w:p>
          <w:p w14:paraId="476D850B" w14:textId="6E9FFEE9" w:rsidR="00DD0C92" w:rsidRPr="00AA43A0" w:rsidRDefault="00DD0C92" w:rsidP="00C07FC2">
            <w:pPr>
              <w:spacing w:after="60"/>
              <w:jc w:val="both"/>
              <w:rPr>
                <w:rStyle w:val="normaltextrun"/>
                <w:color w:val="000000"/>
                <w:shd w:val="clear" w:color="auto" w:fill="FFFFFF"/>
                <w:lang w:val="fr-BE"/>
              </w:rPr>
            </w:pPr>
            <w:r>
              <w:rPr>
                <w:rStyle w:val="normaltextrun"/>
                <w:color w:val="000000"/>
                <w:shd w:val="clear" w:color="auto" w:fill="FFFFFF"/>
              </w:rPr>
              <w:t>« </w:t>
            </w:r>
            <w:r w:rsidR="00923356">
              <w:t xml:space="preserve"> </w:t>
            </w:r>
            <w:r w:rsidR="00923356" w:rsidRPr="00923356">
              <w:rPr>
                <w:rStyle w:val="normaltextrun"/>
                <w:color w:val="000000"/>
                <w:shd w:val="clear" w:color="auto" w:fill="FFFFFF"/>
              </w:rPr>
              <w:t>Sans préjudice de l’application des règles relatives à l’avance telles que prévues dans le présent cahier spécial des charges aux articles 12/1 et suivants de la loi, le prix du marché est liquidé après l’exécution complète de la mission. Cependant, afin d’éviter des problèmes de trésorerie à l’auteur de projet, il est prévu que le prix du marché soit payé par acomptes.</w:t>
            </w:r>
            <w:r w:rsidR="00502BAE">
              <w:rPr>
                <w:rStyle w:val="normaltextrun"/>
                <w:color w:val="000000"/>
                <w:shd w:val="clear" w:color="auto" w:fill="FFFFFF"/>
              </w:rPr>
              <w:t> »</w:t>
            </w:r>
          </w:p>
        </w:tc>
        <w:tc>
          <w:tcPr>
            <w:tcW w:w="4105" w:type="dxa"/>
            <w:vAlign w:val="center"/>
          </w:tcPr>
          <w:p w14:paraId="426D3EE2" w14:textId="73D11F8E" w:rsidR="00B8697D" w:rsidRDefault="00B8697D" w:rsidP="001F21EC">
            <w:pPr>
              <w:spacing w:after="60"/>
              <w:jc w:val="both"/>
              <w:rPr>
                <w:lang w:val="nl-NL"/>
              </w:rPr>
            </w:pPr>
            <w:r>
              <w:rPr>
                <w:lang w:val="nl-NL"/>
              </w:rPr>
              <w:t>“</w:t>
            </w:r>
            <w:r w:rsidR="00EE47FD" w:rsidRPr="00EE47FD">
              <w:rPr>
                <w:lang w:val="nl-NL"/>
              </w:rPr>
              <w:t xml:space="preserve"> </w:t>
            </w:r>
            <w:r w:rsidR="00EE47FD" w:rsidRPr="00EE47FD">
              <w:rPr>
                <w:lang w:val="nl-NL"/>
              </w:rPr>
              <w:t>De prijs van de opdracht wordt na de volledige uitvoering van de opdracht vereffend. Om evenwel te vermijden dat de ontwerper met thesaurieproblemen wordt geconfronteerd, wordt de prijs van de opdracht aan de hand van voorschotten betaald.</w:t>
            </w:r>
            <w:r w:rsidR="00EE47FD">
              <w:rPr>
                <w:lang w:val="nl-NL"/>
              </w:rPr>
              <w:t>”</w:t>
            </w:r>
          </w:p>
          <w:p w14:paraId="2B82AAC4" w14:textId="77777777" w:rsidR="00EE47FD" w:rsidRDefault="00EE47FD" w:rsidP="001F21EC">
            <w:pPr>
              <w:spacing w:after="60"/>
              <w:jc w:val="both"/>
              <w:rPr>
                <w:lang w:val="nl-NL"/>
              </w:rPr>
            </w:pPr>
          </w:p>
          <w:p w14:paraId="7F770D8F" w14:textId="77777777" w:rsidR="00EE47FD" w:rsidRDefault="00EE47FD" w:rsidP="001F21EC">
            <w:pPr>
              <w:spacing w:after="60"/>
              <w:jc w:val="both"/>
              <w:rPr>
                <w:lang w:val="nl-NL"/>
              </w:rPr>
            </w:pPr>
          </w:p>
          <w:p w14:paraId="3FCCAB66" w14:textId="4A3D87A3" w:rsidR="00EE47FD" w:rsidRPr="00EE47FD" w:rsidRDefault="00EE47FD" w:rsidP="00EE47FD">
            <w:pPr>
              <w:spacing w:after="60"/>
              <w:jc w:val="both"/>
              <w:rPr>
                <w:color w:val="000000"/>
                <w:shd w:val="clear" w:color="auto" w:fill="FFFFFF"/>
                <w:lang w:val="nl-NL"/>
              </w:rPr>
            </w:pPr>
            <w:r>
              <w:rPr>
                <w:rStyle w:val="normaltextrun"/>
                <w:b/>
                <w:bCs/>
                <w:color w:val="000000"/>
                <w:shd w:val="clear" w:color="auto" w:fill="FFFFFF"/>
                <w:lang w:val="nl-NL"/>
              </w:rPr>
              <w:t>Vervangen door : </w:t>
            </w:r>
            <w:r w:rsidRPr="00EC60C7">
              <w:rPr>
                <w:rStyle w:val="eop"/>
                <w:color w:val="000000"/>
                <w:shd w:val="clear" w:color="auto" w:fill="FFFFFF"/>
                <w:lang w:val="nl-NL"/>
              </w:rPr>
              <w:t> </w:t>
            </w:r>
          </w:p>
          <w:p w14:paraId="788C12FD" w14:textId="77777777" w:rsidR="00B8697D" w:rsidRDefault="00B8697D" w:rsidP="001F21EC">
            <w:pPr>
              <w:spacing w:after="60"/>
              <w:jc w:val="both"/>
              <w:rPr>
                <w:lang w:val="nl-NL"/>
              </w:rPr>
            </w:pPr>
          </w:p>
          <w:p w14:paraId="70ADF3B7" w14:textId="77777777" w:rsidR="00220098" w:rsidRDefault="00B8697D" w:rsidP="001F21EC">
            <w:pPr>
              <w:spacing w:after="60"/>
              <w:jc w:val="both"/>
              <w:rPr>
                <w:lang w:val="nl-NL"/>
              </w:rPr>
            </w:pPr>
            <w:r w:rsidRPr="00B8697D">
              <w:rPr>
                <w:lang w:val="nl-NL"/>
              </w:rPr>
              <w:t xml:space="preserve">«  </w:t>
            </w:r>
            <w:r w:rsidRPr="00B8697D">
              <w:rPr>
                <w:lang w:val="nl-NL"/>
              </w:rPr>
              <w:t>Onverminderd de toepassing van de regels met betrekking tot de voorschotten zoals bepaald in dit bijzonder bestek in de artikelen 12/1 en volgende van de wet, wordt de prijs van de opdracht na de volledige uitvoering van de opdracht vereffend. Om evenwel te vermijden dat de ontwerper met thesaurieproblemen wordt geconfronteerd, wordt de prijs van de opdracht aan de hand van voorschotten betaald.</w:t>
            </w:r>
            <w:r w:rsidRPr="00B8697D">
              <w:rPr>
                <w:lang w:val="nl-NL"/>
              </w:rPr>
              <w:t> »</w:t>
            </w:r>
          </w:p>
          <w:p w14:paraId="4F95CCA3" w14:textId="74122E6D" w:rsidR="00EE47FD" w:rsidRPr="00B8697D" w:rsidRDefault="00EE47FD" w:rsidP="001F21EC">
            <w:pPr>
              <w:spacing w:after="60"/>
              <w:jc w:val="both"/>
              <w:rPr>
                <w:lang w:val="nl-NL"/>
              </w:rPr>
            </w:pPr>
          </w:p>
        </w:tc>
      </w:tr>
    </w:tbl>
    <w:p w14:paraId="00DEB61E" w14:textId="77777777" w:rsidR="00B455B3" w:rsidRPr="00B8697D" w:rsidRDefault="00B455B3" w:rsidP="00DE3462">
      <w:pPr>
        <w:jc w:val="center"/>
        <w:rPr>
          <w:sz w:val="24"/>
          <w:szCs w:val="24"/>
          <w:lang w:val="nl-NL"/>
        </w:rPr>
      </w:pPr>
    </w:p>
    <w:sectPr w:rsidR="00B455B3" w:rsidRPr="00B86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F3832"/>
    <w:multiLevelType w:val="multilevel"/>
    <w:tmpl w:val="364E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291B43"/>
    <w:multiLevelType w:val="multilevel"/>
    <w:tmpl w:val="0E3C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A55315"/>
    <w:multiLevelType w:val="multilevel"/>
    <w:tmpl w:val="37CA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EB1F3D"/>
    <w:multiLevelType w:val="hybridMultilevel"/>
    <w:tmpl w:val="DB7A936E"/>
    <w:lvl w:ilvl="0" w:tplc="6ADE250A">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1E47FE5"/>
    <w:multiLevelType w:val="multilevel"/>
    <w:tmpl w:val="B00C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AA465C"/>
    <w:multiLevelType w:val="hybridMultilevel"/>
    <w:tmpl w:val="F27C2CD2"/>
    <w:lvl w:ilvl="0" w:tplc="080C0001">
      <w:start w:val="1"/>
      <w:numFmt w:val="bullet"/>
      <w:lvlText w:val=""/>
      <w:lvlJc w:val="left"/>
      <w:pPr>
        <w:ind w:left="717" w:hanging="360"/>
      </w:pPr>
      <w:rPr>
        <w:rFonts w:ascii="Symbol" w:hAnsi="Symbol" w:hint="default"/>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6" w15:restartNumberingAfterBreak="0">
    <w:nsid w:val="4D422ABA"/>
    <w:multiLevelType w:val="hybridMultilevel"/>
    <w:tmpl w:val="CD26C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305F40"/>
    <w:multiLevelType w:val="multilevel"/>
    <w:tmpl w:val="E5B6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3E2774"/>
    <w:multiLevelType w:val="multilevel"/>
    <w:tmpl w:val="B1F0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825145">
    <w:abstractNumId w:val="3"/>
  </w:num>
  <w:num w:numId="2" w16cid:durableId="97726925">
    <w:abstractNumId w:val="5"/>
  </w:num>
  <w:num w:numId="3" w16cid:durableId="1740327636">
    <w:abstractNumId w:val="6"/>
  </w:num>
  <w:num w:numId="4" w16cid:durableId="132330331">
    <w:abstractNumId w:val="7"/>
  </w:num>
  <w:num w:numId="5" w16cid:durableId="88280940">
    <w:abstractNumId w:val="0"/>
  </w:num>
  <w:num w:numId="6" w16cid:durableId="1289818564">
    <w:abstractNumId w:val="1"/>
  </w:num>
  <w:num w:numId="7" w16cid:durableId="1784300331">
    <w:abstractNumId w:val="2"/>
  </w:num>
  <w:num w:numId="8" w16cid:durableId="1314874988">
    <w:abstractNumId w:val="8"/>
  </w:num>
  <w:num w:numId="9" w16cid:durableId="2058313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60"/>
    <w:rsid w:val="000207C8"/>
    <w:rsid w:val="000B12A9"/>
    <w:rsid w:val="000C74E3"/>
    <w:rsid w:val="000F131D"/>
    <w:rsid w:val="00123B25"/>
    <w:rsid w:val="00130790"/>
    <w:rsid w:val="001477B2"/>
    <w:rsid w:val="001B7223"/>
    <w:rsid w:val="001D6E50"/>
    <w:rsid w:val="001F21EC"/>
    <w:rsid w:val="0021411C"/>
    <w:rsid w:val="0021509C"/>
    <w:rsid w:val="00216449"/>
    <w:rsid w:val="00220098"/>
    <w:rsid w:val="00223A52"/>
    <w:rsid w:val="00224766"/>
    <w:rsid w:val="00233DEB"/>
    <w:rsid w:val="002346A0"/>
    <w:rsid w:val="00242CB4"/>
    <w:rsid w:val="00264504"/>
    <w:rsid w:val="002B63AB"/>
    <w:rsid w:val="002D33A7"/>
    <w:rsid w:val="00351C64"/>
    <w:rsid w:val="00365EA3"/>
    <w:rsid w:val="00367B88"/>
    <w:rsid w:val="00425250"/>
    <w:rsid w:val="004275E5"/>
    <w:rsid w:val="004337C4"/>
    <w:rsid w:val="0047522F"/>
    <w:rsid w:val="0048211B"/>
    <w:rsid w:val="004902FF"/>
    <w:rsid w:val="004B76DC"/>
    <w:rsid w:val="004C3034"/>
    <w:rsid w:val="00502BAE"/>
    <w:rsid w:val="00514C97"/>
    <w:rsid w:val="00556C87"/>
    <w:rsid w:val="005640AB"/>
    <w:rsid w:val="005A3F10"/>
    <w:rsid w:val="005F1B96"/>
    <w:rsid w:val="006117F3"/>
    <w:rsid w:val="006213A6"/>
    <w:rsid w:val="00621532"/>
    <w:rsid w:val="00624948"/>
    <w:rsid w:val="00632D25"/>
    <w:rsid w:val="0064338B"/>
    <w:rsid w:val="00646EF5"/>
    <w:rsid w:val="00681E9F"/>
    <w:rsid w:val="006C1B11"/>
    <w:rsid w:val="006C2BB6"/>
    <w:rsid w:val="006D6716"/>
    <w:rsid w:val="00736DA0"/>
    <w:rsid w:val="00743343"/>
    <w:rsid w:val="00745EFC"/>
    <w:rsid w:val="00750F19"/>
    <w:rsid w:val="007953A5"/>
    <w:rsid w:val="007A0028"/>
    <w:rsid w:val="007B7F23"/>
    <w:rsid w:val="007D4163"/>
    <w:rsid w:val="00826657"/>
    <w:rsid w:val="0083519E"/>
    <w:rsid w:val="00840373"/>
    <w:rsid w:val="0086456B"/>
    <w:rsid w:val="00865790"/>
    <w:rsid w:val="00887A14"/>
    <w:rsid w:val="008952E2"/>
    <w:rsid w:val="008A21BF"/>
    <w:rsid w:val="009223C4"/>
    <w:rsid w:val="00923356"/>
    <w:rsid w:val="00925DC7"/>
    <w:rsid w:val="00935905"/>
    <w:rsid w:val="009C627E"/>
    <w:rsid w:val="009D0AE1"/>
    <w:rsid w:val="00A12A54"/>
    <w:rsid w:val="00A269BD"/>
    <w:rsid w:val="00A62258"/>
    <w:rsid w:val="00A637AF"/>
    <w:rsid w:val="00AA43A0"/>
    <w:rsid w:val="00AB31B7"/>
    <w:rsid w:val="00AE01F6"/>
    <w:rsid w:val="00B03260"/>
    <w:rsid w:val="00B34E12"/>
    <w:rsid w:val="00B4086C"/>
    <w:rsid w:val="00B455B3"/>
    <w:rsid w:val="00B517D5"/>
    <w:rsid w:val="00B8697D"/>
    <w:rsid w:val="00BB7DE6"/>
    <w:rsid w:val="00BF4F91"/>
    <w:rsid w:val="00BF7EA4"/>
    <w:rsid w:val="00C07FC2"/>
    <w:rsid w:val="00C4137A"/>
    <w:rsid w:val="00C75614"/>
    <w:rsid w:val="00CD4A38"/>
    <w:rsid w:val="00D30F82"/>
    <w:rsid w:val="00D918AE"/>
    <w:rsid w:val="00DB556A"/>
    <w:rsid w:val="00DD0C92"/>
    <w:rsid w:val="00DE3462"/>
    <w:rsid w:val="00E416CF"/>
    <w:rsid w:val="00E64488"/>
    <w:rsid w:val="00E832FC"/>
    <w:rsid w:val="00EB1EDE"/>
    <w:rsid w:val="00EC60C7"/>
    <w:rsid w:val="00EE47FD"/>
    <w:rsid w:val="00EF3427"/>
    <w:rsid w:val="00F51A62"/>
    <w:rsid w:val="00F642E6"/>
    <w:rsid w:val="00FA68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6E48"/>
  <w15:chartTrackingRefBased/>
  <w15:docId w15:val="{4C34B4A2-2498-46C8-BCEC-A8D65213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7FD"/>
  </w:style>
  <w:style w:type="paragraph" w:styleId="Titre1">
    <w:name w:val="heading 1"/>
    <w:basedOn w:val="Normal"/>
    <w:next w:val="Normal"/>
    <w:link w:val="Titre1Car"/>
    <w:uiPriority w:val="9"/>
    <w:qFormat/>
    <w:rsid w:val="001B72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F642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aliases w:val="CSC Titre 3"/>
    <w:basedOn w:val="Normal"/>
    <w:next w:val="Normal"/>
    <w:link w:val="Titre3Car"/>
    <w:unhideWhenUsed/>
    <w:qFormat/>
    <w:rsid w:val="00EB1EDE"/>
    <w:pPr>
      <w:keepNext/>
      <w:keepLines/>
      <w:tabs>
        <w:tab w:val="left" w:pos="567"/>
        <w:tab w:val="left" w:pos="1134"/>
      </w:tabs>
      <w:spacing w:before="360" w:after="120" w:line="240" w:lineRule="auto"/>
      <w:ind w:left="284" w:hanging="284"/>
      <w:outlineLvl w:val="2"/>
    </w:pPr>
    <w:rPr>
      <w:rFonts w:eastAsia="Times New Roman" w:cs="Times New Roman"/>
      <w:b/>
      <w:bCs/>
      <w:sz w:val="26"/>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E3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DE3462"/>
    <w:pPr>
      <w:spacing w:after="0" w:line="240" w:lineRule="auto"/>
    </w:pPr>
    <w:rPr>
      <w:rFonts w:ascii="Arial" w:eastAsia="Times New Roman" w:hAnsi="Arial" w:cs="Arial"/>
      <w:sz w:val="20"/>
      <w:szCs w:val="20"/>
      <w:lang w:eastAsia="fr-FR"/>
    </w:rPr>
  </w:style>
  <w:style w:type="character" w:customStyle="1" w:styleId="CommentaireCar">
    <w:name w:val="Commentaire Car"/>
    <w:basedOn w:val="Policepardfaut"/>
    <w:link w:val="Commentaire"/>
    <w:uiPriority w:val="99"/>
    <w:rsid w:val="00DE3462"/>
    <w:rPr>
      <w:rFonts w:ascii="Arial" w:eastAsia="Times New Roman" w:hAnsi="Arial" w:cs="Arial"/>
      <w:sz w:val="20"/>
      <w:szCs w:val="20"/>
      <w:lang w:eastAsia="fr-FR"/>
    </w:rPr>
  </w:style>
  <w:style w:type="character" w:styleId="Marquedecommentaire">
    <w:name w:val="annotation reference"/>
    <w:uiPriority w:val="99"/>
    <w:unhideWhenUsed/>
    <w:qFormat/>
    <w:rsid w:val="00DE3462"/>
    <w:rPr>
      <w:sz w:val="16"/>
      <w:szCs w:val="16"/>
    </w:rPr>
  </w:style>
  <w:style w:type="paragraph" w:styleId="Paragraphedeliste">
    <w:name w:val="List Paragraph"/>
    <w:basedOn w:val="Normal"/>
    <w:uiPriority w:val="34"/>
    <w:qFormat/>
    <w:rsid w:val="00514C97"/>
    <w:pPr>
      <w:ind w:left="720"/>
      <w:contextualSpacing/>
    </w:pPr>
  </w:style>
  <w:style w:type="table" w:customStyle="1" w:styleId="Grilledutableau1">
    <w:name w:val="Grille du tableau1"/>
    <w:basedOn w:val="TableauNormal"/>
    <w:next w:val="Grilledutableau"/>
    <w:rsid w:val="00681E9F"/>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aliases w:val="CSC Titre 3 Car"/>
    <w:basedOn w:val="Policepardfaut"/>
    <w:link w:val="Titre3"/>
    <w:rsid w:val="00EB1EDE"/>
    <w:rPr>
      <w:rFonts w:eastAsia="Times New Roman" w:cs="Times New Roman"/>
      <w:b/>
      <w:bCs/>
      <w:sz w:val="26"/>
      <w:u w:val="single"/>
      <w:lang w:val="fr-BE"/>
    </w:rPr>
  </w:style>
  <w:style w:type="character" w:customStyle="1" w:styleId="Titre1Car">
    <w:name w:val="Titre 1 Car"/>
    <w:basedOn w:val="Policepardfaut"/>
    <w:link w:val="Titre1"/>
    <w:uiPriority w:val="9"/>
    <w:rsid w:val="001B7223"/>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Policepardfaut"/>
    <w:rsid w:val="00224766"/>
  </w:style>
  <w:style w:type="character" w:customStyle="1" w:styleId="eop">
    <w:name w:val="eop"/>
    <w:basedOn w:val="Policepardfaut"/>
    <w:rsid w:val="00224766"/>
  </w:style>
  <w:style w:type="character" w:customStyle="1" w:styleId="Titre2Car">
    <w:name w:val="Titre 2 Car"/>
    <w:basedOn w:val="Policepardfaut"/>
    <w:link w:val="Titre2"/>
    <w:uiPriority w:val="9"/>
    <w:semiHidden/>
    <w:rsid w:val="00F642E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6" ma:contentTypeDescription="Crée un document." ma:contentTypeScope="" ma:versionID="3c043eb2a2679f8830bd54fb1b5a8fb0">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03149cf3f6f0fbae6182b8eb2b3654d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194DD-68CF-4EF0-A0C4-8BEE7AAD1023}">
  <ds:schemaRefs>
    <ds:schemaRef ds:uri="http://schemas.microsoft.com/sharepoint/v3/contenttype/forms"/>
  </ds:schemaRefs>
</ds:datastoreItem>
</file>

<file path=customXml/itemProps2.xml><?xml version="1.0" encoding="utf-8"?>
<ds:datastoreItem xmlns:ds="http://schemas.openxmlformats.org/officeDocument/2006/customXml" ds:itemID="{71A4DD40-8EA7-484E-B64B-776DEA81C660}">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customXml/itemProps3.xml><?xml version="1.0" encoding="utf-8"?>
<ds:datastoreItem xmlns:ds="http://schemas.openxmlformats.org/officeDocument/2006/customXml" ds:itemID="{9B7693A7-9C65-440E-8CA0-7BB00E42B32C}">
  <ds:schemaRefs>
    <ds:schemaRef ds:uri="http://schemas.openxmlformats.org/officeDocument/2006/bibliography"/>
  </ds:schemaRefs>
</ds:datastoreItem>
</file>

<file path=customXml/itemProps4.xml><?xml version="1.0" encoding="utf-8"?>
<ds:datastoreItem xmlns:ds="http://schemas.openxmlformats.org/officeDocument/2006/customXml" ds:itemID="{D3A46285-5CB7-40B4-ABA4-3D1717F8A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1821</Words>
  <Characters>10020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DURAY</dc:creator>
  <cp:keywords/>
  <dc:description/>
  <cp:lastModifiedBy>Victoria DURAY</cp:lastModifiedBy>
  <cp:revision>94</cp:revision>
  <dcterms:created xsi:type="dcterms:W3CDTF">2023-06-06T11:36:00Z</dcterms:created>
  <dcterms:modified xsi:type="dcterms:W3CDTF">2024-08-05T09:36:00Z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