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1DF9" w14:textId="686CC1DB" w:rsidR="00DE3462" w:rsidRPr="004275E5" w:rsidRDefault="00DE3462" w:rsidP="00DE3462">
      <w:pPr>
        <w:jc w:val="center"/>
        <w:rPr>
          <w:b/>
          <w:bCs/>
          <w:sz w:val="24"/>
          <w:szCs w:val="24"/>
          <w:lang w:val="fr-BE"/>
        </w:rPr>
      </w:pPr>
      <w:r w:rsidRPr="004275E5">
        <w:rPr>
          <w:b/>
          <w:bCs/>
          <w:sz w:val="24"/>
          <w:szCs w:val="24"/>
          <w:lang w:val="fr-BE"/>
        </w:rPr>
        <w:t>Modifications au « Cahier spécial des charges pour la désignation d’une</w:t>
      </w:r>
    </w:p>
    <w:p w14:paraId="67315578" w14:textId="2F55DA4F" w:rsidR="00DE3462" w:rsidRPr="004275E5" w:rsidRDefault="00DE3462" w:rsidP="00DE3462">
      <w:pPr>
        <w:jc w:val="center"/>
        <w:rPr>
          <w:b/>
          <w:bCs/>
          <w:sz w:val="24"/>
          <w:szCs w:val="24"/>
          <w:lang w:val="nl-NL"/>
        </w:rPr>
      </w:pPr>
      <w:r w:rsidRPr="004275E5">
        <w:rPr>
          <w:b/>
          <w:bCs/>
          <w:sz w:val="24"/>
          <w:szCs w:val="24"/>
          <w:lang w:val="nl-NL"/>
        </w:rPr>
        <w:t xml:space="preserve">équipe </w:t>
      </w:r>
      <w:proofErr w:type="spellStart"/>
      <w:r w:rsidRPr="004275E5">
        <w:rPr>
          <w:b/>
          <w:bCs/>
          <w:sz w:val="24"/>
          <w:szCs w:val="24"/>
          <w:lang w:val="nl-NL"/>
        </w:rPr>
        <w:t>pluridisciplinaire</w:t>
      </w:r>
      <w:proofErr w:type="spellEnd"/>
      <w:r w:rsidRPr="004275E5">
        <w:rPr>
          <w:b/>
          <w:bCs/>
          <w:sz w:val="24"/>
          <w:szCs w:val="24"/>
          <w:lang w:val="nl-NL"/>
        </w:rPr>
        <w:t> » - Veranderingen van het « Bijzonder bestek</w:t>
      </w:r>
    </w:p>
    <w:p w14:paraId="02AC07B5" w14:textId="5C9C04B0" w:rsidR="002346A0" w:rsidRPr="004275E5" w:rsidRDefault="00DE3462" w:rsidP="00DE3462">
      <w:pPr>
        <w:jc w:val="center"/>
        <w:rPr>
          <w:b/>
          <w:bCs/>
          <w:sz w:val="24"/>
          <w:szCs w:val="24"/>
          <w:lang w:val="nl-NL"/>
        </w:rPr>
      </w:pPr>
      <w:r w:rsidRPr="004275E5">
        <w:rPr>
          <w:b/>
          <w:bCs/>
          <w:sz w:val="24"/>
          <w:szCs w:val="24"/>
          <w:lang w:val="nl-NL"/>
        </w:rPr>
        <w:t>voor de aanstelling van een multidisciplinair team”</w:t>
      </w:r>
    </w:p>
    <w:p w14:paraId="399A5B10" w14:textId="1C958A36" w:rsidR="004275E5" w:rsidRDefault="004275E5" w:rsidP="00DE3462">
      <w:pPr>
        <w:jc w:val="center"/>
        <w:rPr>
          <w:sz w:val="24"/>
          <w:szCs w:val="24"/>
          <w:lang w:val="nl-NL"/>
        </w:rPr>
      </w:pPr>
      <w:proofErr w:type="spellStart"/>
      <w:r>
        <w:rPr>
          <w:sz w:val="24"/>
          <w:szCs w:val="24"/>
          <w:lang w:val="nl-NL"/>
        </w:rPr>
        <w:t>Octobre</w:t>
      </w:r>
      <w:proofErr w:type="spellEnd"/>
      <w:r>
        <w:rPr>
          <w:sz w:val="24"/>
          <w:szCs w:val="24"/>
          <w:lang w:val="nl-NL"/>
        </w:rPr>
        <w:t xml:space="preserve"> 2023 – Oktober 2023</w:t>
      </w:r>
    </w:p>
    <w:p w14:paraId="4AF90ED4" w14:textId="77777777" w:rsidR="00DE3462" w:rsidRDefault="00DE3462" w:rsidP="00DE3462">
      <w:pPr>
        <w:jc w:val="center"/>
        <w:rPr>
          <w:sz w:val="24"/>
          <w:szCs w:val="24"/>
          <w:lang w:val="nl-NL"/>
        </w:rPr>
      </w:pPr>
    </w:p>
    <w:tbl>
      <w:tblPr>
        <w:tblStyle w:val="Grilledutableau"/>
        <w:tblpPr w:leftFromText="141" w:rightFromText="141" w:vertAnchor="text" w:tblpY="1"/>
        <w:tblOverlap w:val="never"/>
        <w:tblW w:w="0" w:type="auto"/>
        <w:tblLook w:val="04A0" w:firstRow="1" w:lastRow="0" w:firstColumn="1" w:lastColumn="0" w:noHBand="0" w:noVBand="1"/>
      </w:tblPr>
      <w:tblGrid>
        <w:gridCol w:w="4213"/>
        <w:gridCol w:w="4849"/>
      </w:tblGrid>
      <w:tr w:rsidR="00DE3462" w14:paraId="1603F8D1" w14:textId="77777777" w:rsidTr="00A62258">
        <w:trPr>
          <w:trHeight w:val="851"/>
        </w:trPr>
        <w:tc>
          <w:tcPr>
            <w:tcW w:w="4213" w:type="dxa"/>
            <w:vAlign w:val="center"/>
          </w:tcPr>
          <w:p w14:paraId="2D840FFA" w14:textId="77777777" w:rsidR="00DE3462" w:rsidRDefault="00DE3462" w:rsidP="00DE3462">
            <w:pPr>
              <w:jc w:val="center"/>
              <w:rPr>
                <w:sz w:val="24"/>
                <w:szCs w:val="24"/>
                <w:lang w:val="nl-NL"/>
              </w:rPr>
            </w:pPr>
          </w:p>
          <w:p w14:paraId="1A11A643" w14:textId="3224169B" w:rsidR="00DE3462" w:rsidRDefault="00DE3462" w:rsidP="00DE3462">
            <w:pPr>
              <w:jc w:val="center"/>
              <w:rPr>
                <w:sz w:val="24"/>
                <w:szCs w:val="24"/>
                <w:lang w:val="nl-NL"/>
              </w:rPr>
            </w:pPr>
            <w:r>
              <w:rPr>
                <w:sz w:val="24"/>
                <w:szCs w:val="24"/>
                <w:lang w:val="nl-NL"/>
              </w:rPr>
              <w:t>Version FR</w:t>
            </w:r>
          </w:p>
          <w:p w14:paraId="6F3C3249" w14:textId="0AFD0218" w:rsidR="00DE3462" w:rsidRDefault="00DE3462" w:rsidP="00DE3462">
            <w:pPr>
              <w:jc w:val="center"/>
              <w:rPr>
                <w:sz w:val="24"/>
                <w:szCs w:val="24"/>
                <w:lang w:val="nl-NL"/>
              </w:rPr>
            </w:pPr>
          </w:p>
        </w:tc>
        <w:tc>
          <w:tcPr>
            <w:tcW w:w="4849" w:type="dxa"/>
            <w:vAlign w:val="center"/>
          </w:tcPr>
          <w:p w14:paraId="73621D1E" w14:textId="3E65B13A" w:rsidR="00DE3462" w:rsidRDefault="00DE3462" w:rsidP="00DE3462">
            <w:pPr>
              <w:jc w:val="center"/>
              <w:rPr>
                <w:sz w:val="24"/>
                <w:szCs w:val="24"/>
                <w:lang w:val="nl-NL"/>
              </w:rPr>
            </w:pPr>
            <w:r>
              <w:rPr>
                <w:sz w:val="24"/>
                <w:szCs w:val="24"/>
                <w:lang w:val="nl-NL"/>
              </w:rPr>
              <w:t>NL-Versie</w:t>
            </w:r>
          </w:p>
        </w:tc>
      </w:tr>
      <w:tr w:rsidR="00DE3462" w:rsidRPr="00CD4A38" w14:paraId="012A48BF" w14:textId="77777777" w:rsidTr="00A62258">
        <w:trPr>
          <w:trHeight w:val="851"/>
        </w:trPr>
        <w:tc>
          <w:tcPr>
            <w:tcW w:w="4213" w:type="dxa"/>
            <w:shd w:val="clear" w:color="auto" w:fill="00A4B7"/>
            <w:vAlign w:val="center"/>
          </w:tcPr>
          <w:p w14:paraId="69D01339" w14:textId="539475E2" w:rsidR="00DE3462" w:rsidRPr="006C2BB6" w:rsidRDefault="00DE3462" w:rsidP="00DE3462">
            <w:pPr>
              <w:spacing w:after="60"/>
              <w:jc w:val="center"/>
              <w:rPr>
                <w:color w:val="FFFFFF" w:themeColor="background1"/>
              </w:rPr>
            </w:pPr>
            <w:r w:rsidRPr="006C2BB6">
              <w:rPr>
                <w:color w:val="FFFFFF" w:themeColor="background1"/>
              </w:rPr>
              <w:t xml:space="preserve">AR DU 18 AVRIL 2017,  Art. </w:t>
            </w:r>
            <w:r w:rsidR="007B7F23">
              <w:rPr>
                <w:color w:val="FFFFFF" w:themeColor="background1"/>
              </w:rPr>
              <w:t>55</w:t>
            </w:r>
            <w:r w:rsidRPr="006C2BB6">
              <w:rPr>
                <w:color w:val="FFFFFF" w:themeColor="background1"/>
              </w:rPr>
              <w:t xml:space="preserve"> : </w:t>
            </w:r>
            <w:r w:rsidR="00556C87">
              <w:t xml:space="preserve"> </w:t>
            </w:r>
            <w:r w:rsidR="00556C87" w:rsidRPr="00556C87">
              <w:rPr>
                <w:color w:val="FFFFFF" w:themeColor="background1"/>
              </w:rPr>
              <w:t xml:space="preserve">Remise d’offre par un candidat sélectionné </w:t>
            </w:r>
            <w:r w:rsidR="000207C8" w:rsidRPr="006C2BB6">
              <w:rPr>
                <w:color w:val="FFFFFF" w:themeColor="background1"/>
              </w:rPr>
              <w:t>(page 17)</w:t>
            </w:r>
          </w:p>
        </w:tc>
        <w:tc>
          <w:tcPr>
            <w:tcW w:w="4849" w:type="dxa"/>
            <w:shd w:val="clear" w:color="auto" w:fill="00A4B7"/>
            <w:vAlign w:val="center"/>
          </w:tcPr>
          <w:p w14:paraId="6E7E5FB3" w14:textId="2FEE9F47" w:rsidR="00DE3462" w:rsidRPr="006C2BB6" w:rsidRDefault="00DE3462" w:rsidP="00DE3462">
            <w:pPr>
              <w:spacing w:after="60"/>
              <w:jc w:val="center"/>
              <w:rPr>
                <w:color w:val="FFFFFF" w:themeColor="background1"/>
                <w:lang w:val="nl-NL"/>
              </w:rPr>
            </w:pPr>
            <w:r w:rsidRPr="006C2BB6">
              <w:rPr>
                <w:color w:val="FFFFFF" w:themeColor="background1"/>
                <w:lang w:val="nl-NL"/>
              </w:rPr>
              <w:t xml:space="preserve">KB VAN 18 APRIL 2017, Art. </w:t>
            </w:r>
            <w:r w:rsidR="00351C64">
              <w:rPr>
                <w:color w:val="FFFFFF" w:themeColor="background1"/>
                <w:lang w:val="nl-NL"/>
              </w:rPr>
              <w:t>58</w:t>
            </w:r>
            <w:r w:rsidRPr="006C2BB6">
              <w:rPr>
                <w:color w:val="FFFFFF" w:themeColor="background1"/>
                <w:lang w:val="nl-NL"/>
              </w:rPr>
              <w:t xml:space="preserve"> : </w:t>
            </w:r>
            <w:r w:rsidR="00CD4A38" w:rsidRPr="00CD4A38">
              <w:rPr>
                <w:lang w:val="nl-NL"/>
              </w:rPr>
              <w:t xml:space="preserve"> </w:t>
            </w:r>
            <w:r w:rsidR="00CD4A38" w:rsidRPr="00CD4A38">
              <w:rPr>
                <w:color w:val="FFFFFF" w:themeColor="background1"/>
                <w:lang w:val="nl-NL"/>
              </w:rPr>
              <w:t>Door een geselecteerde kandidaat ingediende offerte</w:t>
            </w:r>
            <w:r w:rsidR="00CD4A38">
              <w:rPr>
                <w:color w:val="FFFFFF" w:themeColor="background1"/>
                <w:lang w:val="nl-NL"/>
              </w:rPr>
              <w:t xml:space="preserve"> </w:t>
            </w:r>
            <w:r w:rsidR="000207C8" w:rsidRPr="00CD4A38">
              <w:rPr>
                <w:color w:val="FFFFFF" w:themeColor="background1"/>
                <w:lang w:val="nl-NL"/>
              </w:rPr>
              <w:t>(pagina</w:t>
            </w:r>
            <w:r w:rsidR="00C75614">
              <w:rPr>
                <w:color w:val="FFFFFF" w:themeColor="background1"/>
                <w:lang w:val="nl-NL"/>
              </w:rPr>
              <w:t>’s 18-19</w:t>
            </w:r>
            <w:r w:rsidR="000207C8" w:rsidRPr="00CD4A38">
              <w:rPr>
                <w:color w:val="FFFFFF" w:themeColor="background1"/>
                <w:lang w:val="nl-NL"/>
              </w:rPr>
              <w:t>)</w:t>
            </w:r>
          </w:p>
        </w:tc>
      </w:tr>
      <w:tr w:rsidR="00DE3462" w:rsidRPr="00750F19" w14:paraId="6CCADDAE" w14:textId="77777777" w:rsidTr="00A62258">
        <w:trPr>
          <w:trHeight w:val="851"/>
        </w:trPr>
        <w:tc>
          <w:tcPr>
            <w:tcW w:w="4213" w:type="dxa"/>
            <w:vAlign w:val="center"/>
          </w:tcPr>
          <w:p w14:paraId="60961269" w14:textId="77777777" w:rsidR="007B7F23" w:rsidRPr="00351C64" w:rsidRDefault="007B7F23" w:rsidP="00DE3462">
            <w:pPr>
              <w:spacing w:after="60"/>
              <w:jc w:val="both"/>
              <w:rPr>
                <w:rFonts w:eastAsia="Times New Roman" w:cs="Arial"/>
                <w:b/>
                <w:bCs/>
                <w:lang w:val="nl-NL" w:eastAsia="fr-FR"/>
              </w:rPr>
            </w:pPr>
          </w:p>
          <w:p w14:paraId="2837264D" w14:textId="77777777" w:rsidR="00A62258" w:rsidRDefault="007B7F23" w:rsidP="00A62258">
            <w:pPr>
              <w:spacing w:after="60"/>
              <w:jc w:val="both"/>
              <w:rPr>
                <w:rFonts w:eastAsia="Times New Roman" w:cs="Arial"/>
                <w:b/>
                <w:bCs/>
                <w:lang w:eastAsia="fr-FR"/>
              </w:rPr>
            </w:pPr>
            <w:r>
              <w:rPr>
                <w:rFonts w:eastAsia="Times New Roman" w:cs="Arial"/>
                <w:b/>
                <w:bCs/>
                <w:lang w:eastAsia="fr-FR"/>
              </w:rPr>
              <w:t>Nouveauté</w:t>
            </w:r>
            <w:r w:rsidR="00A62258">
              <w:rPr>
                <w:rFonts w:eastAsia="Times New Roman" w:cs="Arial"/>
                <w:b/>
                <w:bCs/>
                <w:lang w:eastAsia="fr-FR"/>
              </w:rPr>
              <w:t> :</w:t>
            </w:r>
          </w:p>
          <w:p w14:paraId="30A588D4" w14:textId="77777777" w:rsidR="00A62258" w:rsidRDefault="00A62258" w:rsidP="00A62258">
            <w:pPr>
              <w:spacing w:after="60"/>
              <w:jc w:val="both"/>
              <w:rPr>
                <w:rFonts w:eastAsia="Times New Roman" w:cs="Arial"/>
                <w:lang w:eastAsia="fr-FR"/>
              </w:rPr>
            </w:pPr>
          </w:p>
          <w:p w14:paraId="3AE4D715" w14:textId="66C50D8B" w:rsidR="00EB1EDE" w:rsidRDefault="000207C8" w:rsidP="00A62258">
            <w:pPr>
              <w:spacing w:after="60"/>
              <w:jc w:val="both"/>
            </w:pPr>
            <w:r>
              <w:rPr>
                <w:rFonts w:eastAsia="Times New Roman" w:cs="Arial"/>
                <w:lang w:eastAsia="fr-FR"/>
              </w:rPr>
              <w:t>« </w:t>
            </w:r>
            <w:bookmarkStart w:id="0" w:name="_Toc147138584"/>
            <w:r w:rsidR="00EB1EDE" w:rsidRPr="44A48D5E">
              <w:rPr>
                <w:rFonts w:eastAsia="Times New Roman" w:cs="Times New Roman"/>
                <w:b/>
                <w:bCs/>
                <w:sz w:val="26"/>
                <w:szCs w:val="26"/>
                <w:u w:val="single"/>
              </w:rPr>
              <w:t xml:space="preserve"> </w:t>
            </w:r>
            <w:r w:rsidR="00EB1EDE" w:rsidRPr="00EB1EDE">
              <w:rPr>
                <w:rFonts w:eastAsia="Times New Roman" w:cs="Times New Roman"/>
                <w:b/>
                <w:bCs/>
                <w:u w:val="single"/>
              </w:rPr>
              <w:t>Art. 55 : Remise d’offre par un candidat sélectionné</w:t>
            </w:r>
            <w:bookmarkEnd w:id="0"/>
          </w:p>
          <w:p w14:paraId="781C014A" w14:textId="77777777" w:rsidR="00EB1EDE" w:rsidRPr="00EB1EDE" w:rsidRDefault="00EB1EDE" w:rsidP="00EB1EDE">
            <w:pPr>
              <w:tabs>
                <w:tab w:val="left" w:pos="284"/>
              </w:tabs>
              <w:spacing w:after="120"/>
              <w:jc w:val="both"/>
              <w:rPr>
                <w:rFonts w:eastAsia="Times New Roman" w:cs="Arial"/>
                <w:sz w:val="20"/>
                <w:szCs w:val="20"/>
                <w:lang w:eastAsia="fr-FR"/>
              </w:rPr>
            </w:pPr>
            <w:r w:rsidRPr="00EB1EDE">
              <w:rPr>
                <w:rFonts w:eastAsia="Times New Roman" w:cs="Arial"/>
                <w:sz w:val="20"/>
                <w:szCs w:val="20"/>
                <w:lang w:eastAsia="fr-FR"/>
              </w:rPr>
              <w:t xml:space="preserve">Seuls les candidats sélectionnés peuvent remettre offre. </w:t>
            </w:r>
          </w:p>
          <w:p w14:paraId="656A6AB8" w14:textId="77777777" w:rsidR="00EB1EDE" w:rsidRPr="00EB1EDE" w:rsidRDefault="00EB1EDE" w:rsidP="00EB1EDE">
            <w:pPr>
              <w:tabs>
                <w:tab w:val="left" w:pos="284"/>
              </w:tabs>
              <w:spacing w:after="120"/>
              <w:jc w:val="both"/>
              <w:rPr>
                <w:rFonts w:eastAsia="Times New Roman" w:cs="Arial"/>
                <w:sz w:val="20"/>
                <w:szCs w:val="20"/>
                <w:lang w:eastAsia="fr-FR"/>
              </w:rPr>
            </w:pPr>
            <w:r w:rsidRPr="00EB1EDE">
              <w:rPr>
                <w:rFonts w:eastAsia="Times New Roman" w:cs="Arial"/>
                <w:sz w:val="20"/>
                <w:szCs w:val="20"/>
                <w:lang w:eastAsia="fr-FR"/>
              </w:rPr>
              <w:t>Cependant, dans le cas où, entre la sélection des candidats et la remise de l’offre, il apparaît qu’un membre d’un groupement invité à remettre offre se retrouve dans l’impossibilité de poursuivre la procédure ou n’a plus la volonté de le faire, le groupement concerné peut proposer un nouveau membre, pour peu que celui-ci réponde aux critères de sélection (droit d’accès et sélection qualitative) et que la décision portant sur la limitation du nombre de candidats du groupement ne repose pas sur des références présentées par le membre remplacé.</w:t>
            </w:r>
          </w:p>
          <w:p w14:paraId="3E8CF1FB" w14:textId="77777777" w:rsidR="00EB1EDE" w:rsidRPr="00EB1EDE" w:rsidRDefault="00EB1EDE" w:rsidP="00EB1EDE">
            <w:pPr>
              <w:tabs>
                <w:tab w:val="left" w:pos="284"/>
              </w:tabs>
              <w:spacing w:after="120"/>
              <w:jc w:val="both"/>
              <w:rPr>
                <w:rFonts w:eastAsia="Times New Roman" w:cs="Arial"/>
                <w:sz w:val="20"/>
                <w:szCs w:val="20"/>
                <w:lang w:eastAsia="fr-FR"/>
              </w:rPr>
            </w:pPr>
            <w:r w:rsidRPr="00EB1EDE">
              <w:rPr>
                <w:rFonts w:eastAsia="Times New Roman" w:cs="Arial"/>
                <w:sz w:val="20"/>
                <w:szCs w:val="20"/>
                <w:lang w:eastAsia="fr-FR"/>
              </w:rPr>
              <w:t>Dans ce cas, le groupement concerné indique dans son formulaire d’offre quel membre quitte le groupement et les coordonnées du nouveau membre, et joint à son offre les documents nécessaires à la sélection de celui-ci.</w:t>
            </w:r>
          </w:p>
          <w:p w14:paraId="0FAA6CF1" w14:textId="1538EA19" w:rsidR="00A12A54" w:rsidRPr="00DE3462" w:rsidRDefault="000207C8" w:rsidP="00750F19">
            <w:pPr>
              <w:spacing w:after="60"/>
              <w:jc w:val="both"/>
            </w:pPr>
            <w:r>
              <w:rPr>
                <w:rFonts w:eastAsia="Times New Roman" w:cs="Arial"/>
                <w:lang w:eastAsia="fr-FR"/>
              </w:rPr>
              <w:t>»</w:t>
            </w:r>
          </w:p>
        </w:tc>
        <w:tc>
          <w:tcPr>
            <w:tcW w:w="4849" w:type="dxa"/>
            <w:vAlign w:val="center"/>
          </w:tcPr>
          <w:p w14:paraId="26B87545" w14:textId="77777777" w:rsidR="00750F19" w:rsidRDefault="00750F19" w:rsidP="00DE3462">
            <w:pPr>
              <w:spacing w:after="60"/>
              <w:jc w:val="both"/>
              <w:rPr>
                <w:b/>
                <w:bCs/>
                <w:lang w:val="nl-NL"/>
              </w:rPr>
            </w:pPr>
          </w:p>
          <w:p w14:paraId="00A12A13" w14:textId="43797CE0" w:rsidR="000207C8" w:rsidRPr="007B7F23" w:rsidRDefault="007B7F23" w:rsidP="00DE3462">
            <w:pPr>
              <w:spacing w:after="60"/>
              <w:jc w:val="both"/>
              <w:rPr>
                <w:lang w:val="nl-NL"/>
              </w:rPr>
            </w:pPr>
            <w:r>
              <w:rPr>
                <w:b/>
                <w:bCs/>
                <w:lang w:val="nl-NL"/>
              </w:rPr>
              <w:t>Nieuw</w:t>
            </w:r>
            <w:r w:rsidR="000207C8" w:rsidRPr="00A12A54">
              <w:rPr>
                <w:b/>
                <w:bCs/>
                <w:lang w:val="nl-NL"/>
              </w:rPr>
              <w:t xml:space="preserve"> : </w:t>
            </w:r>
          </w:p>
          <w:p w14:paraId="0FCA48C4" w14:textId="77777777" w:rsidR="000207C8" w:rsidRDefault="000207C8" w:rsidP="00DE3462">
            <w:pPr>
              <w:spacing w:after="60"/>
              <w:jc w:val="both"/>
              <w:rPr>
                <w:lang w:val="nl-NL"/>
              </w:rPr>
            </w:pPr>
          </w:p>
          <w:p w14:paraId="1B27FA47" w14:textId="42DC1190" w:rsidR="00750F19" w:rsidRPr="00750F19" w:rsidRDefault="000207C8" w:rsidP="00750F19">
            <w:pPr>
              <w:spacing w:after="60" w:line="240" w:lineRule="auto"/>
              <w:jc w:val="both"/>
              <w:rPr>
                <w:lang w:val="nl-NL"/>
              </w:rPr>
            </w:pPr>
            <w:r>
              <w:rPr>
                <w:lang w:val="nl-NL"/>
              </w:rPr>
              <w:t>“</w:t>
            </w:r>
            <w:r w:rsidR="00750F19" w:rsidRPr="00750F19">
              <w:rPr>
                <w:lang w:val="nl-NL"/>
              </w:rPr>
              <w:t xml:space="preserve"> </w:t>
            </w:r>
            <w:r w:rsidR="00750F19" w:rsidRPr="00750F19">
              <w:rPr>
                <w:rFonts w:eastAsia="Times New Roman" w:cs="Times New Roman"/>
                <w:b/>
                <w:bCs/>
                <w:u w:val="single"/>
              </w:rPr>
              <w:t>Art. 55 : Door een geselecteerde kandidaat ingediende offerte</w:t>
            </w:r>
          </w:p>
          <w:p w14:paraId="67B92F09" w14:textId="77777777" w:rsidR="00750F19" w:rsidRPr="00750F19" w:rsidRDefault="00750F19" w:rsidP="00750F19">
            <w:pPr>
              <w:spacing w:after="60" w:line="240" w:lineRule="auto"/>
              <w:jc w:val="both"/>
              <w:rPr>
                <w:lang w:val="nl-NL"/>
              </w:rPr>
            </w:pPr>
            <w:r w:rsidRPr="00750F19">
              <w:rPr>
                <w:lang w:val="nl-NL"/>
              </w:rPr>
              <w:t xml:space="preserve">Alleen de geselecteerde kandidaten mogen een offerte indienen. </w:t>
            </w:r>
          </w:p>
          <w:p w14:paraId="464E63C8" w14:textId="77777777" w:rsidR="00750F19" w:rsidRPr="00750F19" w:rsidRDefault="00750F19" w:rsidP="00750F19">
            <w:pPr>
              <w:spacing w:after="60" w:line="240" w:lineRule="auto"/>
              <w:jc w:val="both"/>
              <w:rPr>
                <w:lang w:val="nl-NL"/>
              </w:rPr>
            </w:pPr>
            <w:r w:rsidRPr="00750F19">
              <w:rPr>
                <w:lang w:val="nl-NL"/>
              </w:rPr>
              <w:t>Als echter tussen de selectie van de kandidaten en de indiening van de offerte blijkt dat een lid van een combinatie van ondernemers die is uitgenodigd om een offerte in te dienen, niet in staat is of niet langer wenst deel te nemen aan de procedure, kan de betrokken combinatie een nieuw lid voorstellen, op voorwaarde dat het nieuwe lid voldoet aan de selectiecriteria (recht op toegang en kwaliteitsselectie) en dat de beslissing over de beperking van het aantal kandidaten van de combinatie niet gebaseerd is op referenties die door het vervangen lid zijn ingediend.</w:t>
            </w:r>
          </w:p>
          <w:p w14:paraId="18220948" w14:textId="74651C20" w:rsidR="00DE3462" w:rsidRPr="000207C8" w:rsidRDefault="00750F19" w:rsidP="00750F19">
            <w:pPr>
              <w:spacing w:after="60"/>
              <w:jc w:val="both"/>
              <w:rPr>
                <w:lang w:val="nl-NL"/>
              </w:rPr>
            </w:pPr>
            <w:r w:rsidRPr="00750F19">
              <w:rPr>
                <w:lang w:val="nl-NL"/>
              </w:rPr>
              <w:t>In dit geval moet de betrokken combinatie in haar offerteformulier vermelden welk lid de combinatie verlaat en de gegevens van het nieuwe lid vermelden, en bij haar offerte de documenten voegen die nodig zijn voor de selectie van het nieuwe lid.</w:t>
            </w:r>
            <w:r>
              <w:rPr>
                <w:lang w:val="nl-NL"/>
              </w:rPr>
              <w:t>”</w:t>
            </w:r>
          </w:p>
        </w:tc>
      </w:tr>
      <w:tr w:rsidR="006C2BB6" w:rsidRPr="00CD4A38" w14:paraId="4D60FE7F" w14:textId="77777777" w:rsidTr="00A62258">
        <w:trPr>
          <w:trHeight w:val="851"/>
        </w:trPr>
        <w:tc>
          <w:tcPr>
            <w:tcW w:w="4213" w:type="dxa"/>
            <w:shd w:val="clear" w:color="auto" w:fill="00A4B7"/>
            <w:vAlign w:val="center"/>
          </w:tcPr>
          <w:p w14:paraId="7C70CD00" w14:textId="74C7A03C" w:rsidR="006C2BB6" w:rsidRDefault="00351C64" w:rsidP="00DE3462">
            <w:pPr>
              <w:spacing w:after="60"/>
              <w:jc w:val="both"/>
              <w:rPr>
                <w:rFonts w:eastAsia="Times New Roman" w:cs="Arial"/>
                <w:lang w:eastAsia="fr-FR"/>
              </w:rPr>
            </w:pPr>
            <w:r w:rsidRPr="006C2BB6">
              <w:rPr>
                <w:color w:val="FFFFFF" w:themeColor="background1"/>
              </w:rPr>
              <w:t xml:space="preserve">AR DU 18 AVRIL 2017,  Art. </w:t>
            </w:r>
            <w:r w:rsidR="0086456B">
              <w:rPr>
                <w:color w:val="FFFFFF" w:themeColor="background1"/>
              </w:rPr>
              <w:t>80</w:t>
            </w:r>
            <w:r w:rsidRPr="006C2BB6">
              <w:rPr>
                <w:color w:val="FFFFFF" w:themeColor="background1"/>
              </w:rPr>
              <w:t xml:space="preserve"> : </w:t>
            </w:r>
            <w:r>
              <w:t xml:space="preserve"> </w:t>
            </w:r>
            <w:r w:rsidR="00865790">
              <w:t xml:space="preserve"> </w:t>
            </w:r>
            <w:r w:rsidR="00865790" w:rsidRPr="00865790">
              <w:rPr>
                <w:color w:val="FFFFFF" w:themeColor="background1"/>
              </w:rPr>
              <w:t xml:space="preserve">Interprétation, erreurs et omissions </w:t>
            </w:r>
            <w:r w:rsidRPr="006C2BB6">
              <w:rPr>
                <w:color w:val="FFFFFF" w:themeColor="background1"/>
              </w:rPr>
              <w:t>(page 1</w:t>
            </w:r>
            <w:r w:rsidR="00865790">
              <w:rPr>
                <w:color w:val="FFFFFF" w:themeColor="background1"/>
              </w:rPr>
              <w:t>8</w:t>
            </w:r>
            <w:r w:rsidRPr="006C2BB6">
              <w:rPr>
                <w:color w:val="FFFFFF" w:themeColor="background1"/>
              </w:rPr>
              <w:t>)</w:t>
            </w:r>
          </w:p>
        </w:tc>
        <w:tc>
          <w:tcPr>
            <w:tcW w:w="4849" w:type="dxa"/>
            <w:shd w:val="clear" w:color="auto" w:fill="00A4B7"/>
            <w:vAlign w:val="center"/>
          </w:tcPr>
          <w:p w14:paraId="0E75844C" w14:textId="283C15EF" w:rsidR="006C2BB6" w:rsidRPr="006C2BB6" w:rsidRDefault="00351C64" w:rsidP="00DE3462">
            <w:pPr>
              <w:spacing w:after="60"/>
              <w:jc w:val="both"/>
              <w:rPr>
                <w:lang w:val="nl-NL"/>
              </w:rPr>
            </w:pPr>
            <w:r w:rsidRPr="006C2BB6">
              <w:rPr>
                <w:color w:val="FFFFFF" w:themeColor="background1"/>
                <w:lang w:val="nl-NL"/>
              </w:rPr>
              <w:t xml:space="preserve">KB VAN 18 APRIL 2017, Art. </w:t>
            </w:r>
            <w:r w:rsidR="00865790">
              <w:rPr>
                <w:color w:val="FFFFFF" w:themeColor="background1"/>
                <w:lang w:val="nl-NL"/>
              </w:rPr>
              <w:t>80</w:t>
            </w:r>
            <w:r w:rsidRPr="006C2BB6">
              <w:rPr>
                <w:color w:val="FFFFFF" w:themeColor="background1"/>
                <w:lang w:val="nl-NL"/>
              </w:rPr>
              <w:t xml:space="preserve"> : </w:t>
            </w:r>
            <w:r w:rsidR="00A62258" w:rsidRPr="00A62258">
              <w:rPr>
                <w:lang w:val="nl-NL"/>
              </w:rPr>
              <w:t xml:space="preserve"> </w:t>
            </w:r>
            <w:r w:rsidR="00A62258" w:rsidRPr="00A62258">
              <w:rPr>
                <w:color w:val="FFFFFF" w:themeColor="background1"/>
                <w:lang w:val="nl-NL"/>
              </w:rPr>
              <w:t xml:space="preserve">Interpretatie, fouten en leemten </w:t>
            </w:r>
            <w:r w:rsidRPr="00A62258">
              <w:rPr>
                <w:color w:val="FFFFFF" w:themeColor="background1"/>
                <w:lang w:val="nl-NL"/>
              </w:rPr>
              <w:t xml:space="preserve">(pagina </w:t>
            </w:r>
            <w:r w:rsidR="00A62258">
              <w:rPr>
                <w:color w:val="FFFFFF" w:themeColor="background1"/>
                <w:lang w:val="nl-NL"/>
              </w:rPr>
              <w:t>19</w:t>
            </w:r>
            <w:r w:rsidRPr="00A62258">
              <w:rPr>
                <w:color w:val="FFFFFF" w:themeColor="background1"/>
                <w:lang w:val="nl-NL"/>
              </w:rPr>
              <w:t>)</w:t>
            </w:r>
          </w:p>
        </w:tc>
      </w:tr>
      <w:tr w:rsidR="006C2BB6" w:rsidRPr="00BB7DE6" w14:paraId="602F7817" w14:textId="77777777" w:rsidTr="00A62258">
        <w:trPr>
          <w:trHeight w:val="851"/>
        </w:trPr>
        <w:tc>
          <w:tcPr>
            <w:tcW w:w="4213" w:type="dxa"/>
            <w:vAlign w:val="center"/>
          </w:tcPr>
          <w:p w14:paraId="3606D203" w14:textId="00913A6C" w:rsidR="00A62258" w:rsidRDefault="00A62258" w:rsidP="00A62258">
            <w:pPr>
              <w:spacing w:after="60"/>
              <w:jc w:val="both"/>
              <w:rPr>
                <w:rFonts w:eastAsia="Times New Roman" w:cs="Arial"/>
                <w:lang w:eastAsia="fr-FR"/>
              </w:rPr>
            </w:pPr>
            <w:r>
              <w:rPr>
                <w:rFonts w:eastAsia="Times New Roman" w:cs="Arial"/>
                <w:b/>
                <w:bCs/>
                <w:lang w:eastAsia="fr-FR"/>
              </w:rPr>
              <w:lastRenderedPageBreak/>
              <w:t>Nouveauté :</w:t>
            </w:r>
          </w:p>
          <w:p w14:paraId="79CB9EA8" w14:textId="71AE0C61" w:rsidR="00B4086C" w:rsidRPr="00B4086C" w:rsidRDefault="00A62258" w:rsidP="00B4086C">
            <w:pPr>
              <w:pStyle w:val="Titre3"/>
              <w:rPr>
                <w:rFonts w:eastAsia="Calibri"/>
              </w:rPr>
            </w:pPr>
            <w:r>
              <w:rPr>
                <w:rFonts w:cs="Arial"/>
                <w:lang w:eastAsia="fr-FR"/>
              </w:rPr>
              <w:t>« </w:t>
            </w:r>
            <w:bookmarkStart w:id="1" w:name="_Toc73100786"/>
            <w:bookmarkStart w:id="2" w:name="_Toc147138589"/>
            <w:r w:rsidR="00B4086C" w:rsidRPr="00B4086C">
              <w:t xml:space="preserve"> </w:t>
            </w:r>
            <w:r w:rsidR="00B4086C" w:rsidRPr="00B4086C">
              <w:rPr>
                <w:sz w:val="22"/>
              </w:rPr>
              <w:t>Art. 80 : Interprétation, erreurs et omissions</w:t>
            </w:r>
            <w:bookmarkEnd w:id="1"/>
            <w:bookmarkEnd w:id="2"/>
          </w:p>
          <w:p w14:paraId="13927E68" w14:textId="77777777" w:rsidR="00B4086C" w:rsidRPr="00B4086C" w:rsidRDefault="00B4086C" w:rsidP="00B4086C">
            <w:pPr>
              <w:jc w:val="both"/>
              <w:rPr>
                <w:rFonts w:eastAsia="Times New Roman" w:cs="Arial"/>
                <w:sz w:val="20"/>
                <w:szCs w:val="20"/>
                <w:lang w:eastAsia="fr-FR"/>
              </w:rPr>
            </w:pPr>
            <w:r w:rsidRPr="00B4086C">
              <w:rPr>
                <w:rFonts w:eastAsia="Times New Roman" w:cs="Arial"/>
                <w:sz w:val="20"/>
                <w:szCs w:val="20"/>
                <w:lang w:eastAsia="fr-FR"/>
              </w:rPr>
              <w:t>L’ordre de priorité suivant est déterminant pour l’interprétation en cas de contradiction entre les documents du marché :</w:t>
            </w:r>
          </w:p>
          <w:p w14:paraId="76081A7E" w14:textId="77777777" w:rsidR="00B4086C" w:rsidRPr="00B4086C" w:rsidRDefault="00B4086C" w:rsidP="00B4086C">
            <w:pPr>
              <w:jc w:val="both"/>
              <w:rPr>
                <w:rFonts w:eastAsia="Times New Roman" w:cs="Arial"/>
                <w:sz w:val="20"/>
                <w:szCs w:val="20"/>
                <w:lang w:eastAsia="fr-FR"/>
              </w:rPr>
            </w:pPr>
          </w:p>
          <w:p w14:paraId="2FED5540" w14:textId="77777777" w:rsidR="00B4086C" w:rsidRPr="00B4086C" w:rsidRDefault="00B4086C" w:rsidP="00B4086C">
            <w:pPr>
              <w:ind w:firstLine="708"/>
              <w:jc w:val="both"/>
              <w:rPr>
                <w:rFonts w:eastAsia="Times New Roman" w:cs="Arial"/>
                <w:sz w:val="20"/>
                <w:szCs w:val="20"/>
                <w:lang w:eastAsia="fr-FR"/>
              </w:rPr>
            </w:pPr>
            <w:r w:rsidRPr="00B4086C">
              <w:rPr>
                <w:rFonts w:eastAsia="Times New Roman" w:cs="Arial"/>
                <w:sz w:val="20"/>
                <w:szCs w:val="20"/>
                <w:lang w:eastAsia="fr-FR"/>
              </w:rPr>
              <w:t>1° l’avis de marché ;</w:t>
            </w:r>
          </w:p>
          <w:p w14:paraId="3EEC4D4B" w14:textId="77777777" w:rsidR="00B4086C" w:rsidRPr="00B4086C" w:rsidRDefault="00B4086C" w:rsidP="00B4086C">
            <w:pPr>
              <w:ind w:firstLine="708"/>
              <w:jc w:val="both"/>
              <w:rPr>
                <w:rFonts w:eastAsia="Times New Roman" w:cs="Arial"/>
                <w:sz w:val="20"/>
                <w:szCs w:val="20"/>
                <w:lang w:eastAsia="fr-FR"/>
              </w:rPr>
            </w:pPr>
            <w:r w:rsidRPr="00B4086C">
              <w:rPr>
                <w:rFonts w:eastAsia="Times New Roman" w:cs="Arial"/>
                <w:sz w:val="20"/>
                <w:szCs w:val="20"/>
                <w:lang w:eastAsia="fr-FR"/>
              </w:rPr>
              <w:t>2° le cahier spécial des charges ;</w:t>
            </w:r>
          </w:p>
          <w:p w14:paraId="0A5E164F" w14:textId="77777777" w:rsidR="00B4086C" w:rsidRPr="00B4086C" w:rsidRDefault="00B4086C" w:rsidP="00B4086C">
            <w:pPr>
              <w:ind w:firstLine="708"/>
              <w:jc w:val="both"/>
              <w:rPr>
                <w:rFonts w:eastAsia="Times New Roman" w:cs="Arial"/>
                <w:sz w:val="20"/>
                <w:szCs w:val="20"/>
                <w:lang w:eastAsia="fr-FR"/>
              </w:rPr>
            </w:pPr>
            <w:r w:rsidRPr="00B4086C">
              <w:rPr>
                <w:rFonts w:eastAsia="Times New Roman" w:cs="Arial"/>
                <w:sz w:val="20"/>
                <w:szCs w:val="20"/>
                <w:lang w:eastAsia="fr-FR"/>
              </w:rPr>
              <w:t>3° le forum.</w:t>
            </w:r>
          </w:p>
          <w:p w14:paraId="2AC900F7" w14:textId="568A82EE" w:rsidR="006C2BB6" w:rsidRDefault="006C2BB6" w:rsidP="006C2BB6">
            <w:pPr>
              <w:spacing w:after="60"/>
              <w:jc w:val="both"/>
              <w:rPr>
                <w:rFonts w:eastAsia="Times New Roman" w:cs="Arial"/>
                <w:lang w:eastAsia="fr-FR"/>
              </w:rPr>
            </w:pPr>
          </w:p>
        </w:tc>
        <w:tc>
          <w:tcPr>
            <w:tcW w:w="4849" w:type="dxa"/>
            <w:vAlign w:val="center"/>
          </w:tcPr>
          <w:p w14:paraId="7B9F8359" w14:textId="7AD9AB93" w:rsidR="00B4086C" w:rsidRPr="007B7F23" w:rsidRDefault="00B4086C" w:rsidP="00B4086C">
            <w:pPr>
              <w:spacing w:after="60"/>
              <w:jc w:val="both"/>
              <w:rPr>
                <w:lang w:val="nl-NL"/>
              </w:rPr>
            </w:pPr>
            <w:r>
              <w:rPr>
                <w:b/>
                <w:bCs/>
                <w:lang w:val="nl-NL"/>
              </w:rPr>
              <w:t>Nieuw</w:t>
            </w:r>
            <w:r w:rsidRPr="00A12A54">
              <w:rPr>
                <w:b/>
                <w:bCs/>
                <w:lang w:val="nl-NL"/>
              </w:rPr>
              <w:t xml:space="preserve"> : </w:t>
            </w:r>
          </w:p>
          <w:p w14:paraId="317EF81A" w14:textId="77777777" w:rsidR="00B4086C" w:rsidRDefault="00B4086C" w:rsidP="00B4086C">
            <w:pPr>
              <w:spacing w:after="60"/>
              <w:jc w:val="both"/>
              <w:rPr>
                <w:lang w:val="nl-NL"/>
              </w:rPr>
            </w:pPr>
          </w:p>
          <w:p w14:paraId="31E4A4EF" w14:textId="464C5148" w:rsidR="002D33A7" w:rsidRPr="002D33A7" w:rsidRDefault="00B4086C" w:rsidP="002D33A7">
            <w:pPr>
              <w:spacing w:after="60"/>
              <w:jc w:val="both"/>
              <w:rPr>
                <w:b/>
                <w:bCs/>
                <w:u w:val="single"/>
                <w:lang w:val="nl-NL"/>
              </w:rPr>
            </w:pPr>
            <w:r>
              <w:rPr>
                <w:lang w:val="nl-NL"/>
              </w:rPr>
              <w:t>“</w:t>
            </w:r>
            <w:bookmarkStart w:id="3" w:name="_Toc73100576"/>
            <w:bookmarkStart w:id="4" w:name="_Toc147138966"/>
            <w:r w:rsidR="002D33A7" w:rsidRPr="002D33A7">
              <w:rPr>
                <w:lang w:val="nl-NL"/>
              </w:rPr>
              <w:t xml:space="preserve"> </w:t>
            </w:r>
            <w:r w:rsidR="002D33A7" w:rsidRPr="00CD4A38">
              <w:rPr>
                <w:rFonts w:eastAsia="Times New Roman" w:cs="Times New Roman"/>
                <w:b/>
                <w:bCs/>
                <w:u w:val="single"/>
                <w:lang w:val="nl-NL"/>
              </w:rPr>
              <w:t>Art. 80 : Interpretatie, fouten en leemten</w:t>
            </w:r>
            <w:bookmarkEnd w:id="3"/>
            <w:bookmarkEnd w:id="4"/>
          </w:p>
          <w:p w14:paraId="2B98268A" w14:textId="77777777" w:rsidR="002D33A7" w:rsidRPr="002D33A7" w:rsidRDefault="002D33A7" w:rsidP="002D33A7">
            <w:pPr>
              <w:spacing w:after="60"/>
              <w:jc w:val="both"/>
              <w:rPr>
                <w:b/>
                <w:u w:val="single"/>
                <w:lang w:val="nl-NL"/>
              </w:rPr>
            </w:pPr>
          </w:p>
          <w:p w14:paraId="070B3B14" w14:textId="77777777" w:rsidR="002D33A7" w:rsidRPr="002D33A7" w:rsidRDefault="002D33A7" w:rsidP="002D33A7">
            <w:pPr>
              <w:spacing w:after="60"/>
              <w:jc w:val="both"/>
              <w:rPr>
                <w:sz w:val="20"/>
                <w:szCs w:val="20"/>
                <w:lang w:val="nl-NL"/>
              </w:rPr>
            </w:pPr>
            <w:r w:rsidRPr="002D33A7">
              <w:rPr>
                <w:sz w:val="20"/>
                <w:szCs w:val="20"/>
                <w:lang w:val="nl-NL"/>
              </w:rPr>
              <w:t>De onderstaande voorrangsorde is bepalend voor de interpretatie in geval van tegenspraak tussen de opdrachtdocumenten:</w:t>
            </w:r>
          </w:p>
          <w:p w14:paraId="54E6118E" w14:textId="77777777" w:rsidR="002D33A7" w:rsidRPr="002D33A7" w:rsidRDefault="002D33A7" w:rsidP="002D33A7">
            <w:pPr>
              <w:spacing w:after="60"/>
              <w:jc w:val="both"/>
              <w:rPr>
                <w:sz w:val="20"/>
                <w:szCs w:val="20"/>
                <w:lang w:val="nl-NL"/>
              </w:rPr>
            </w:pPr>
          </w:p>
          <w:p w14:paraId="193C63A2" w14:textId="77777777" w:rsidR="002D33A7" w:rsidRPr="002D33A7" w:rsidRDefault="002D33A7" w:rsidP="002D33A7">
            <w:pPr>
              <w:spacing w:after="60"/>
              <w:jc w:val="both"/>
              <w:rPr>
                <w:sz w:val="20"/>
                <w:szCs w:val="20"/>
                <w:lang w:val="nl-NL"/>
              </w:rPr>
            </w:pPr>
            <w:r w:rsidRPr="002D33A7">
              <w:rPr>
                <w:sz w:val="20"/>
                <w:szCs w:val="20"/>
                <w:lang w:val="nl-NL"/>
              </w:rPr>
              <w:t>1° de aankondiging van opdracht;</w:t>
            </w:r>
          </w:p>
          <w:p w14:paraId="3CC6F8AC" w14:textId="77777777" w:rsidR="002D33A7" w:rsidRPr="002D33A7" w:rsidRDefault="002D33A7" w:rsidP="002D33A7">
            <w:pPr>
              <w:spacing w:after="60"/>
              <w:jc w:val="both"/>
              <w:rPr>
                <w:sz w:val="20"/>
                <w:szCs w:val="20"/>
                <w:lang w:val="nl-NL"/>
              </w:rPr>
            </w:pPr>
            <w:r w:rsidRPr="002D33A7">
              <w:rPr>
                <w:sz w:val="20"/>
                <w:szCs w:val="20"/>
                <w:lang w:val="nl-NL"/>
              </w:rPr>
              <w:t>2° het bestek;</w:t>
            </w:r>
          </w:p>
          <w:p w14:paraId="383EA884" w14:textId="0C012A05" w:rsidR="002D33A7" w:rsidRPr="002D33A7" w:rsidRDefault="002D33A7" w:rsidP="002D33A7">
            <w:pPr>
              <w:spacing w:after="60"/>
              <w:jc w:val="both"/>
              <w:rPr>
                <w:sz w:val="20"/>
                <w:szCs w:val="20"/>
                <w:lang w:val="nl-NL"/>
              </w:rPr>
            </w:pPr>
            <w:r w:rsidRPr="002D33A7">
              <w:rPr>
                <w:sz w:val="20"/>
                <w:szCs w:val="20"/>
                <w:lang w:val="nl-NL"/>
              </w:rPr>
              <w:t>3° het forum.</w:t>
            </w:r>
            <w:r>
              <w:rPr>
                <w:sz w:val="20"/>
                <w:szCs w:val="20"/>
                <w:lang w:val="nl-NL"/>
              </w:rPr>
              <w:t>”</w:t>
            </w:r>
          </w:p>
          <w:p w14:paraId="7C36DFAA" w14:textId="56D3951C" w:rsidR="006C2BB6" w:rsidRPr="006C2BB6" w:rsidRDefault="006C2BB6" w:rsidP="00B4086C">
            <w:pPr>
              <w:spacing w:after="60"/>
              <w:jc w:val="both"/>
              <w:rPr>
                <w:lang w:val="nl-NL"/>
              </w:rPr>
            </w:pPr>
          </w:p>
        </w:tc>
      </w:tr>
    </w:tbl>
    <w:p w14:paraId="00DEB61E" w14:textId="77777777" w:rsidR="00B455B3" w:rsidRPr="00B34E12" w:rsidRDefault="00B455B3" w:rsidP="00DE3462">
      <w:pPr>
        <w:jc w:val="center"/>
        <w:rPr>
          <w:sz w:val="24"/>
          <w:szCs w:val="24"/>
          <w:lang w:val="nl-NL"/>
        </w:rPr>
      </w:pPr>
    </w:p>
    <w:sectPr w:rsidR="00B455B3" w:rsidRPr="00B34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B1F3D"/>
    <w:multiLevelType w:val="hybridMultilevel"/>
    <w:tmpl w:val="DB7A936E"/>
    <w:lvl w:ilvl="0" w:tplc="6ADE250A">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9AA465C"/>
    <w:multiLevelType w:val="hybridMultilevel"/>
    <w:tmpl w:val="F27C2CD2"/>
    <w:lvl w:ilvl="0" w:tplc="080C0001">
      <w:start w:val="1"/>
      <w:numFmt w:val="bullet"/>
      <w:lvlText w:val=""/>
      <w:lvlJc w:val="left"/>
      <w:pPr>
        <w:ind w:left="717" w:hanging="360"/>
      </w:pPr>
      <w:rPr>
        <w:rFonts w:ascii="Symbol" w:hAnsi="Symbol" w:hint="default"/>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2" w15:restartNumberingAfterBreak="0">
    <w:nsid w:val="4D422ABA"/>
    <w:multiLevelType w:val="hybridMultilevel"/>
    <w:tmpl w:val="CD26C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4825145">
    <w:abstractNumId w:val="0"/>
  </w:num>
  <w:num w:numId="2" w16cid:durableId="97726925">
    <w:abstractNumId w:val="1"/>
  </w:num>
  <w:num w:numId="3" w16cid:durableId="174032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60"/>
    <w:rsid w:val="000207C8"/>
    <w:rsid w:val="002346A0"/>
    <w:rsid w:val="002D33A7"/>
    <w:rsid w:val="00351C64"/>
    <w:rsid w:val="004275E5"/>
    <w:rsid w:val="00514C97"/>
    <w:rsid w:val="00556C87"/>
    <w:rsid w:val="00624948"/>
    <w:rsid w:val="00646EF5"/>
    <w:rsid w:val="00681E9F"/>
    <w:rsid w:val="006C1B11"/>
    <w:rsid w:val="006C2BB6"/>
    <w:rsid w:val="00736DA0"/>
    <w:rsid w:val="00750F19"/>
    <w:rsid w:val="007953A5"/>
    <w:rsid w:val="007B7F23"/>
    <w:rsid w:val="00826657"/>
    <w:rsid w:val="0086456B"/>
    <w:rsid w:val="00865790"/>
    <w:rsid w:val="00A12A54"/>
    <w:rsid w:val="00A62258"/>
    <w:rsid w:val="00B03260"/>
    <w:rsid w:val="00B34E12"/>
    <w:rsid w:val="00B4086C"/>
    <w:rsid w:val="00B455B3"/>
    <w:rsid w:val="00BB7DE6"/>
    <w:rsid w:val="00C75614"/>
    <w:rsid w:val="00CD4A38"/>
    <w:rsid w:val="00DE3462"/>
    <w:rsid w:val="00E416CF"/>
    <w:rsid w:val="00E832FC"/>
    <w:rsid w:val="00EB1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6E48"/>
  <w15:chartTrackingRefBased/>
  <w15:docId w15:val="{4C34B4A2-2498-46C8-BCEC-A8D6521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86C"/>
  </w:style>
  <w:style w:type="paragraph" w:styleId="Titre3">
    <w:name w:val="heading 3"/>
    <w:aliases w:val="CSC Titre 3"/>
    <w:basedOn w:val="Normal"/>
    <w:next w:val="Normal"/>
    <w:link w:val="Titre3Car"/>
    <w:unhideWhenUsed/>
    <w:qFormat/>
    <w:rsid w:val="00EB1EDE"/>
    <w:pPr>
      <w:keepNext/>
      <w:keepLines/>
      <w:tabs>
        <w:tab w:val="left" w:pos="567"/>
        <w:tab w:val="left" w:pos="1134"/>
      </w:tabs>
      <w:spacing w:before="360" w:after="120" w:line="240" w:lineRule="auto"/>
      <w:ind w:left="284" w:hanging="284"/>
      <w:outlineLvl w:val="2"/>
    </w:pPr>
    <w:rPr>
      <w:rFonts w:eastAsia="Times New Roman" w:cs="Times New Roman"/>
      <w:b/>
      <w:bCs/>
      <w:sz w:val="26"/>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E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DE3462"/>
    <w:pPr>
      <w:spacing w:after="0" w:line="240" w:lineRule="auto"/>
    </w:pPr>
    <w:rPr>
      <w:rFonts w:ascii="Arial" w:eastAsia="Times New Roman" w:hAnsi="Arial" w:cs="Arial"/>
      <w:sz w:val="20"/>
      <w:szCs w:val="20"/>
      <w:lang w:eastAsia="fr-FR"/>
    </w:rPr>
  </w:style>
  <w:style w:type="character" w:customStyle="1" w:styleId="CommentaireCar">
    <w:name w:val="Commentaire Car"/>
    <w:basedOn w:val="Policepardfaut"/>
    <w:link w:val="Commentaire"/>
    <w:uiPriority w:val="99"/>
    <w:rsid w:val="00DE3462"/>
    <w:rPr>
      <w:rFonts w:ascii="Arial" w:eastAsia="Times New Roman" w:hAnsi="Arial" w:cs="Arial"/>
      <w:sz w:val="20"/>
      <w:szCs w:val="20"/>
      <w:lang w:eastAsia="fr-FR"/>
    </w:rPr>
  </w:style>
  <w:style w:type="character" w:styleId="Marquedecommentaire">
    <w:name w:val="annotation reference"/>
    <w:uiPriority w:val="99"/>
    <w:unhideWhenUsed/>
    <w:qFormat/>
    <w:rsid w:val="00DE3462"/>
    <w:rPr>
      <w:sz w:val="16"/>
      <w:szCs w:val="16"/>
    </w:rPr>
  </w:style>
  <w:style w:type="paragraph" w:styleId="Paragraphedeliste">
    <w:name w:val="List Paragraph"/>
    <w:basedOn w:val="Normal"/>
    <w:uiPriority w:val="34"/>
    <w:qFormat/>
    <w:rsid w:val="00514C97"/>
    <w:pPr>
      <w:ind w:left="720"/>
      <w:contextualSpacing/>
    </w:pPr>
  </w:style>
  <w:style w:type="table" w:customStyle="1" w:styleId="Grilledutableau1">
    <w:name w:val="Grille du tableau1"/>
    <w:basedOn w:val="TableauNormal"/>
    <w:next w:val="Grilledutableau"/>
    <w:rsid w:val="00681E9F"/>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aliases w:val="CSC Titre 3 Car"/>
    <w:basedOn w:val="Policepardfaut"/>
    <w:link w:val="Titre3"/>
    <w:rsid w:val="00EB1EDE"/>
    <w:rPr>
      <w:rFonts w:eastAsia="Times New Roman" w:cs="Times New Roman"/>
      <w:b/>
      <w:bCs/>
      <w:sz w:val="26"/>
      <w:u w:val="single"/>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6" ma:contentTypeDescription="Crée un document." ma:contentTypeScope="" ma:versionID="3c043eb2a2679f8830bd54fb1b5a8fb0">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03149cf3f6f0fbae6182b8eb2b3654d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194DD-68CF-4EF0-A0C4-8BEE7AAD1023}">
  <ds:schemaRefs>
    <ds:schemaRef ds:uri="http://schemas.microsoft.com/sharepoint/v3/contenttype/forms"/>
  </ds:schemaRefs>
</ds:datastoreItem>
</file>

<file path=customXml/itemProps2.xml><?xml version="1.0" encoding="utf-8"?>
<ds:datastoreItem xmlns:ds="http://schemas.openxmlformats.org/officeDocument/2006/customXml" ds:itemID="{71A4DD40-8EA7-484E-B64B-776DEA81C660}">
  <ds:schemaRefs>
    <ds:schemaRef ds:uri="http://purl.org/dc/elements/1.1/"/>
    <ds:schemaRef ds:uri="90d36ca8-3775-4e67-8fde-944c9a0b113a"/>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0f4491c0-0eb5-41a8-997a-1b3dad6c562c"/>
    <ds:schemaRef ds:uri="http://www.w3.org/XML/1998/namespace"/>
    <ds:schemaRef ds:uri="http://purl.org/dc/dcmitype/"/>
  </ds:schemaRefs>
</ds:datastoreItem>
</file>

<file path=customXml/itemProps3.xml><?xml version="1.0" encoding="utf-8"?>
<ds:datastoreItem xmlns:ds="http://schemas.openxmlformats.org/officeDocument/2006/customXml" ds:itemID="{9B7693A7-9C65-440E-8CA0-7BB00E42B32C}">
  <ds:schemaRefs>
    <ds:schemaRef ds:uri="http://schemas.openxmlformats.org/officeDocument/2006/bibliography"/>
  </ds:schemaRefs>
</ds:datastoreItem>
</file>

<file path=customXml/itemProps4.xml><?xml version="1.0" encoding="utf-8"?>
<ds:datastoreItem xmlns:ds="http://schemas.openxmlformats.org/officeDocument/2006/customXml" ds:itemID="{6A8A5CB3-517A-4A59-A73E-177147D3969C}"/>
</file>

<file path=docProps/app.xml><?xml version="1.0" encoding="utf-8"?>
<Properties xmlns="http://schemas.openxmlformats.org/officeDocument/2006/extended-properties" xmlns:vt="http://schemas.openxmlformats.org/officeDocument/2006/docPropsVTypes">
  <Template>Normal.dotm</Template>
  <TotalTime>60</TotalTime>
  <Pages>2</Pages>
  <Words>453</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DURAY</dc:creator>
  <cp:keywords/>
  <dc:description/>
  <cp:lastModifiedBy>Victoria DURAY</cp:lastModifiedBy>
  <cp:revision>21</cp:revision>
  <dcterms:created xsi:type="dcterms:W3CDTF">2023-06-06T11:36:00Z</dcterms:created>
  <dcterms:modified xsi:type="dcterms:W3CDTF">2023-10-03T11:41:00Z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