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1DF9" w14:textId="686CC1DB" w:rsidR="00DE3462" w:rsidRPr="00DE3462" w:rsidRDefault="00DE3462" w:rsidP="00DE3462">
      <w:pPr>
        <w:jc w:val="center"/>
        <w:rPr>
          <w:sz w:val="24"/>
          <w:szCs w:val="24"/>
          <w:lang w:val="fr-BE"/>
        </w:rPr>
      </w:pPr>
      <w:r w:rsidRPr="00DE3462">
        <w:rPr>
          <w:sz w:val="24"/>
          <w:szCs w:val="24"/>
          <w:lang w:val="fr-BE"/>
        </w:rPr>
        <w:t>Modifications au « Cahier spécial des charges pour la désignation d’une</w:t>
      </w:r>
    </w:p>
    <w:p w14:paraId="67315578" w14:textId="2F55DA4F" w:rsidR="00DE3462" w:rsidRPr="00DE3462" w:rsidRDefault="00DE3462" w:rsidP="00DE3462">
      <w:pPr>
        <w:jc w:val="center"/>
        <w:rPr>
          <w:sz w:val="24"/>
          <w:szCs w:val="24"/>
          <w:lang w:val="nl-NL"/>
        </w:rPr>
      </w:pPr>
      <w:r w:rsidRPr="00DE3462">
        <w:rPr>
          <w:sz w:val="24"/>
          <w:szCs w:val="24"/>
          <w:lang w:val="nl-NL"/>
        </w:rPr>
        <w:t xml:space="preserve">équipe </w:t>
      </w:r>
      <w:proofErr w:type="spellStart"/>
      <w:r w:rsidRPr="00DE3462">
        <w:rPr>
          <w:sz w:val="24"/>
          <w:szCs w:val="24"/>
          <w:lang w:val="nl-NL"/>
        </w:rPr>
        <w:t>pluridisciplinaire</w:t>
      </w:r>
      <w:proofErr w:type="spellEnd"/>
      <w:r w:rsidRPr="00DE3462">
        <w:rPr>
          <w:sz w:val="24"/>
          <w:szCs w:val="24"/>
          <w:lang w:val="nl-NL"/>
        </w:rPr>
        <w:t> » - Veranderingen van het « Bijzonder bestek</w:t>
      </w:r>
    </w:p>
    <w:p w14:paraId="02AC07B5" w14:textId="5C9C04B0" w:rsidR="002346A0" w:rsidRDefault="00DE3462" w:rsidP="00DE3462">
      <w:pPr>
        <w:jc w:val="center"/>
        <w:rPr>
          <w:sz w:val="24"/>
          <w:szCs w:val="24"/>
          <w:lang w:val="nl-NL"/>
        </w:rPr>
      </w:pPr>
      <w:r w:rsidRPr="00DE3462">
        <w:rPr>
          <w:sz w:val="24"/>
          <w:szCs w:val="24"/>
          <w:lang w:val="nl-NL"/>
        </w:rPr>
        <w:t>voor de aanstelling van een multidisciplinair team”</w:t>
      </w:r>
    </w:p>
    <w:p w14:paraId="4AF90ED4" w14:textId="77777777" w:rsidR="00DE3462" w:rsidRDefault="00DE3462" w:rsidP="00DE3462">
      <w:pPr>
        <w:jc w:val="center"/>
        <w:rPr>
          <w:sz w:val="24"/>
          <w:szCs w:val="24"/>
          <w:lang w:val="nl-NL"/>
        </w:rPr>
      </w:pPr>
    </w:p>
    <w:tbl>
      <w:tblPr>
        <w:tblStyle w:val="Grilledutableau"/>
        <w:tblpPr w:leftFromText="141" w:rightFromText="141" w:vertAnchor="text" w:tblpY="1"/>
        <w:tblOverlap w:val="never"/>
        <w:tblW w:w="0" w:type="auto"/>
        <w:tblLook w:val="04A0" w:firstRow="1" w:lastRow="0" w:firstColumn="1" w:lastColumn="0" w:noHBand="0" w:noVBand="1"/>
      </w:tblPr>
      <w:tblGrid>
        <w:gridCol w:w="4242"/>
        <w:gridCol w:w="131"/>
        <w:gridCol w:w="4689"/>
      </w:tblGrid>
      <w:tr w:rsidR="00DE3462" w14:paraId="1603F8D1" w14:textId="77777777" w:rsidTr="006C2BB6">
        <w:trPr>
          <w:trHeight w:val="851"/>
        </w:trPr>
        <w:tc>
          <w:tcPr>
            <w:tcW w:w="4291" w:type="dxa"/>
            <w:vAlign w:val="center"/>
          </w:tcPr>
          <w:p w14:paraId="2D840FFA" w14:textId="77777777" w:rsidR="00DE3462" w:rsidRDefault="00DE3462" w:rsidP="00DE3462">
            <w:pPr>
              <w:jc w:val="center"/>
              <w:rPr>
                <w:sz w:val="24"/>
                <w:szCs w:val="24"/>
                <w:lang w:val="nl-NL"/>
              </w:rPr>
            </w:pPr>
          </w:p>
          <w:p w14:paraId="1A11A643" w14:textId="3224169B" w:rsidR="00DE3462" w:rsidRDefault="00DE3462" w:rsidP="00DE3462">
            <w:pPr>
              <w:jc w:val="center"/>
              <w:rPr>
                <w:sz w:val="24"/>
                <w:szCs w:val="24"/>
                <w:lang w:val="nl-NL"/>
              </w:rPr>
            </w:pPr>
            <w:r>
              <w:rPr>
                <w:sz w:val="24"/>
                <w:szCs w:val="24"/>
                <w:lang w:val="nl-NL"/>
              </w:rPr>
              <w:t>Version FR</w:t>
            </w:r>
          </w:p>
          <w:p w14:paraId="6F3C3249" w14:textId="0AFD0218" w:rsidR="00DE3462" w:rsidRDefault="00DE3462" w:rsidP="00DE3462">
            <w:pPr>
              <w:jc w:val="center"/>
              <w:rPr>
                <w:sz w:val="24"/>
                <w:szCs w:val="24"/>
                <w:lang w:val="nl-NL"/>
              </w:rPr>
            </w:pPr>
          </w:p>
        </w:tc>
        <w:tc>
          <w:tcPr>
            <w:tcW w:w="4771" w:type="dxa"/>
            <w:gridSpan w:val="2"/>
            <w:vAlign w:val="center"/>
          </w:tcPr>
          <w:p w14:paraId="73621D1E" w14:textId="3E65B13A" w:rsidR="00DE3462" w:rsidRDefault="00DE3462" w:rsidP="00DE3462">
            <w:pPr>
              <w:jc w:val="center"/>
              <w:rPr>
                <w:sz w:val="24"/>
                <w:szCs w:val="24"/>
                <w:lang w:val="nl-NL"/>
              </w:rPr>
            </w:pPr>
            <w:r>
              <w:rPr>
                <w:sz w:val="24"/>
                <w:szCs w:val="24"/>
                <w:lang w:val="nl-NL"/>
              </w:rPr>
              <w:t>NL-Versie</w:t>
            </w:r>
          </w:p>
        </w:tc>
      </w:tr>
      <w:tr w:rsidR="00DE3462" w:rsidRPr="007953A5" w14:paraId="5281906A" w14:textId="77777777" w:rsidTr="006C2BB6">
        <w:trPr>
          <w:trHeight w:val="851"/>
        </w:trPr>
        <w:tc>
          <w:tcPr>
            <w:tcW w:w="4291" w:type="dxa"/>
            <w:shd w:val="clear" w:color="auto" w:fill="00A4B7"/>
            <w:vAlign w:val="center"/>
          </w:tcPr>
          <w:p w14:paraId="3CC5A30B" w14:textId="539059AA" w:rsidR="00DE3462" w:rsidRPr="006C2BB6" w:rsidRDefault="00DE3462" w:rsidP="00DE3462">
            <w:pPr>
              <w:jc w:val="center"/>
              <w:rPr>
                <w:color w:val="FFFFFF" w:themeColor="background1"/>
              </w:rPr>
            </w:pPr>
            <w:r w:rsidRPr="006C2BB6">
              <w:rPr>
                <w:color w:val="FFFFFF" w:themeColor="background1"/>
              </w:rPr>
              <w:t>PARTIE 1: GENERALITES, 1/ Régie du marché, 1.1/ En application</w:t>
            </w:r>
            <w:r w:rsidR="000207C8" w:rsidRPr="006C2BB6">
              <w:rPr>
                <w:color w:val="FFFFFF" w:themeColor="background1"/>
              </w:rPr>
              <w:t xml:space="preserve"> (page 9)</w:t>
            </w:r>
          </w:p>
        </w:tc>
        <w:tc>
          <w:tcPr>
            <w:tcW w:w="4771" w:type="dxa"/>
            <w:gridSpan w:val="2"/>
            <w:shd w:val="clear" w:color="auto" w:fill="00A4B7"/>
            <w:vAlign w:val="center"/>
          </w:tcPr>
          <w:p w14:paraId="56D17931" w14:textId="77777777" w:rsidR="00DE3462" w:rsidRPr="006C2BB6" w:rsidRDefault="00DE3462" w:rsidP="00DE3462">
            <w:pPr>
              <w:jc w:val="center"/>
              <w:rPr>
                <w:color w:val="FFFFFF" w:themeColor="background1"/>
              </w:rPr>
            </w:pPr>
          </w:p>
          <w:p w14:paraId="2282810E" w14:textId="79B0FD64" w:rsidR="00DE3462" w:rsidRPr="006C2BB6" w:rsidRDefault="00DE3462" w:rsidP="00DE3462">
            <w:pPr>
              <w:jc w:val="center"/>
              <w:rPr>
                <w:color w:val="FFFFFF" w:themeColor="background1"/>
                <w:lang w:val="nl-NL"/>
              </w:rPr>
            </w:pPr>
            <w:r w:rsidRPr="006C2BB6">
              <w:rPr>
                <w:color w:val="FFFFFF" w:themeColor="background1"/>
                <w:lang w:val="nl-NL"/>
              </w:rPr>
              <w:t>DEEL 1: ALGEMEEN, 1/</w:t>
            </w:r>
            <w:r w:rsidRPr="006C2BB6">
              <w:rPr>
                <w:color w:val="FFFFFF" w:themeColor="background1"/>
                <w:lang w:val="nl-NL"/>
              </w:rPr>
              <w:tab/>
              <w:t>Regie van de opdracht, 1.1/ Toepasselijke regelgeving</w:t>
            </w:r>
            <w:r w:rsidR="000207C8" w:rsidRPr="006C2BB6">
              <w:rPr>
                <w:color w:val="FFFFFF" w:themeColor="background1"/>
                <w:lang w:val="nl-NL"/>
              </w:rPr>
              <w:t xml:space="preserve"> (pagina 9)</w:t>
            </w:r>
          </w:p>
          <w:p w14:paraId="050CAE26" w14:textId="17F41A7C" w:rsidR="00DE3462" w:rsidRPr="006C2BB6" w:rsidRDefault="00DE3462" w:rsidP="00DE3462">
            <w:pPr>
              <w:jc w:val="center"/>
              <w:rPr>
                <w:color w:val="FFFFFF" w:themeColor="background1"/>
                <w:lang w:val="nl-NL"/>
              </w:rPr>
            </w:pPr>
          </w:p>
        </w:tc>
      </w:tr>
      <w:tr w:rsidR="00DE3462" w:rsidRPr="007953A5" w14:paraId="3A08D63C" w14:textId="77777777" w:rsidTr="006C2BB6">
        <w:trPr>
          <w:trHeight w:val="851"/>
        </w:trPr>
        <w:tc>
          <w:tcPr>
            <w:tcW w:w="4291" w:type="dxa"/>
            <w:vAlign w:val="center"/>
          </w:tcPr>
          <w:p w14:paraId="3FD9B6C9" w14:textId="59758221" w:rsidR="000207C8" w:rsidRPr="006C2BB6" w:rsidRDefault="000207C8" w:rsidP="00DE3462">
            <w:pPr>
              <w:spacing w:after="60"/>
              <w:jc w:val="both"/>
              <w:rPr>
                <w:b/>
                <w:bCs/>
              </w:rPr>
            </w:pPr>
            <w:bookmarkStart w:id="0" w:name="_Hlk135983602"/>
            <w:r w:rsidRPr="006C2BB6">
              <w:rPr>
                <w:b/>
                <w:bCs/>
              </w:rPr>
              <w:t>Nouveauté :</w:t>
            </w:r>
          </w:p>
          <w:p w14:paraId="13162FC4" w14:textId="77777777" w:rsidR="000207C8" w:rsidRPr="006C2BB6" w:rsidRDefault="000207C8" w:rsidP="00DE3462">
            <w:pPr>
              <w:spacing w:after="60"/>
              <w:jc w:val="both"/>
            </w:pPr>
          </w:p>
          <w:p w14:paraId="45EF5EC9" w14:textId="3D58C5C5" w:rsidR="00DE3462" w:rsidRPr="006C2BB6" w:rsidRDefault="000207C8" w:rsidP="00DE3462">
            <w:pPr>
              <w:spacing w:after="60"/>
              <w:jc w:val="both"/>
            </w:pPr>
            <w:r w:rsidRPr="006C2BB6">
              <w:t>« </w:t>
            </w:r>
            <w:r w:rsidR="00DE3462" w:rsidRPr="006C2BB6">
              <w:t>En application de l’article 3, § 2 de l’arrêté royal du 29 novembre 2022 relatif à l'octroi d'une avance dans le cadre des marchés publics en raison de la crise économique suite à la guerre en Ukraine, l’adjudicateur informe qu’il n’accorde pas d’avance à l’adjudicataire dans le cadre du présent marché.</w:t>
            </w:r>
            <w:r w:rsidRPr="006C2BB6">
              <w:t> »</w:t>
            </w:r>
          </w:p>
          <w:bookmarkEnd w:id="0"/>
          <w:p w14:paraId="1AAF380E" w14:textId="77777777" w:rsidR="00DE3462" w:rsidRPr="006C2BB6" w:rsidRDefault="00DE3462" w:rsidP="00DE3462">
            <w:pPr>
              <w:jc w:val="center"/>
            </w:pPr>
          </w:p>
        </w:tc>
        <w:tc>
          <w:tcPr>
            <w:tcW w:w="4771" w:type="dxa"/>
            <w:gridSpan w:val="2"/>
            <w:vAlign w:val="center"/>
          </w:tcPr>
          <w:p w14:paraId="62C3F101" w14:textId="77777777" w:rsidR="00A12A54" w:rsidRPr="006C2BB6" w:rsidRDefault="00A12A54" w:rsidP="00DE3462">
            <w:pPr>
              <w:spacing w:after="60"/>
              <w:jc w:val="both"/>
              <w:rPr>
                <w:b/>
                <w:bCs/>
              </w:rPr>
            </w:pPr>
          </w:p>
          <w:p w14:paraId="26E2EE41" w14:textId="54CD4B05" w:rsidR="000207C8" w:rsidRPr="006C2BB6" w:rsidRDefault="000207C8" w:rsidP="00DE3462">
            <w:pPr>
              <w:spacing w:after="60"/>
              <w:jc w:val="both"/>
              <w:rPr>
                <w:b/>
                <w:bCs/>
                <w:lang w:val="nl-NL"/>
              </w:rPr>
            </w:pPr>
            <w:r w:rsidRPr="006C2BB6">
              <w:rPr>
                <w:b/>
                <w:bCs/>
                <w:lang w:val="nl-NL"/>
              </w:rPr>
              <w:t>Nieuw:</w:t>
            </w:r>
          </w:p>
          <w:p w14:paraId="6E9D63F6" w14:textId="77777777" w:rsidR="000207C8" w:rsidRPr="006C2BB6" w:rsidRDefault="000207C8" w:rsidP="00DE3462">
            <w:pPr>
              <w:spacing w:after="60"/>
              <w:jc w:val="both"/>
              <w:rPr>
                <w:lang w:val="nl-NL"/>
              </w:rPr>
            </w:pPr>
          </w:p>
          <w:p w14:paraId="319175B8" w14:textId="7BDAF3C2" w:rsidR="00DE3462" w:rsidRPr="006C2BB6" w:rsidRDefault="000207C8" w:rsidP="00DE3462">
            <w:pPr>
              <w:spacing w:after="60"/>
              <w:jc w:val="both"/>
              <w:rPr>
                <w:lang w:val="nl-NL"/>
              </w:rPr>
            </w:pPr>
            <w:r w:rsidRPr="006C2BB6">
              <w:rPr>
                <w:lang w:val="nl-NL"/>
              </w:rPr>
              <w:t>“</w:t>
            </w:r>
            <w:r w:rsidR="00DE3462" w:rsidRPr="006C2BB6">
              <w:rPr>
                <w:lang w:val="nl-NL"/>
              </w:rPr>
              <w:t>In toepassing van artikel 3, § 2 van het koninklijk besluit van 29 november 2022 betreffende de toekenning van een voorschot in het kader van overheidsopdrachten omwille van de economische situatie door de oorlog in Oekraïne, meldt de aanbesteder dat hij de opdrachtnemer geen voorschot toekent in het kader van deze opdracht.</w:t>
            </w:r>
            <w:r w:rsidRPr="006C2BB6">
              <w:rPr>
                <w:lang w:val="nl-NL"/>
              </w:rPr>
              <w:t>”</w:t>
            </w:r>
          </w:p>
          <w:p w14:paraId="4F0626BC" w14:textId="77777777" w:rsidR="00DE3462" w:rsidRPr="006C2BB6" w:rsidRDefault="00DE3462" w:rsidP="00DE3462">
            <w:pPr>
              <w:jc w:val="center"/>
              <w:rPr>
                <w:lang w:val="nl-NL"/>
              </w:rPr>
            </w:pPr>
          </w:p>
        </w:tc>
      </w:tr>
      <w:tr w:rsidR="00826657" w:rsidRPr="006C2BB6" w14:paraId="369F673C" w14:textId="77777777" w:rsidTr="006C2BB6">
        <w:trPr>
          <w:trHeight w:val="851"/>
        </w:trPr>
        <w:tc>
          <w:tcPr>
            <w:tcW w:w="4291" w:type="dxa"/>
            <w:shd w:val="clear" w:color="auto" w:fill="00A4B7"/>
            <w:vAlign w:val="center"/>
          </w:tcPr>
          <w:p w14:paraId="7F238F47" w14:textId="4F16D2F4" w:rsidR="00826657" w:rsidRPr="006C2BB6" w:rsidRDefault="006C2BB6" w:rsidP="00DE3462">
            <w:pPr>
              <w:spacing w:after="60"/>
              <w:jc w:val="both"/>
              <w:rPr>
                <w:b/>
                <w:bCs/>
              </w:rPr>
            </w:pPr>
            <w:r w:rsidRPr="006C2BB6">
              <w:rPr>
                <w:color w:val="FFFFFF" w:themeColor="background1"/>
              </w:rPr>
              <w:t>PARTIE 1: GENERALITES, 1/ Régie du marché, 1.</w:t>
            </w:r>
            <w:r w:rsidRPr="006C2BB6">
              <w:rPr>
                <w:color w:val="FFFFFF" w:themeColor="background1"/>
              </w:rPr>
              <w:t>2</w:t>
            </w:r>
            <w:r w:rsidRPr="006C2BB6">
              <w:rPr>
                <w:color w:val="FFFFFF" w:themeColor="background1"/>
              </w:rPr>
              <w:t xml:space="preserve">/ En </w:t>
            </w:r>
            <w:r>
              <w:rPr>
                <w:color w:val="FFFFFF" w:themeColor="background1"/>
              </w:rPr>
              <w:t>dérogation</w:t>
            </w:r>
            <w:r w:rsidRPr="006C2BB6">
              <w:rPr>
                <w:color w:val="FFFFFF" w:themeColor="background1"/>
              </w:rPr>
              <w:t xml:space="preserve"> (page </w:t>
            </w:r>
            <w:r>
              <w:rPr>
                <w:color w:val="FFFFFF" w:themeColor="background1"/>
              </w:rPr>
              <w:t>10</w:t>
            </w:r>
            <w:r w:rsidRPr="006C2BB6">
              <w:rPr>
                <w:color w:val="FFFFFF" w:themeColor="background1"/>
              </w:rPr>
              <w:t>)</w:t>
            </w:r>
          </w:p>
        </w:tc>
        <w:tc>
          <w:tcPr>
            <w:tcW w:w="4771" w:type="dxa"/>
            <w:gridSpan w:val="2"/>
            <w:shd w:val="clear" w:color="auto" w:fill="00A4B7"/>
            <w:vAlign w:val="center"/>
          </w:tcPr>
          <w:p w14:paraId="0A29CC2A" w14:textId="5CB6E37F" w:rsidR="006C2BB6" w:rsidRPr="006C2BB6" w:rsidRDefault="006C2BB6" w:rsidP="006C2BB6">
            <w:pPr>
              <w:jc w:val="center"/>
              <w:rPr>
                <w:color w:val="FFFFFF" w:themeColor="background1"/>
                <w:lang w:val="nl-NL"/>
              </w:rPr>
            </w:pPr>
            <w:r w:rsidRPr="006C2BB6">
              <w:rPr>
                <w:color w:val="FFFFFF" w:themeColor="background1"/>
                <w:lang w:val="nl-NL"/>
              </w:rPr>
              <w:t>DEEL 1: ALGEMEEN, 1/</w:t>
            </w:r>
            <w:r>
              <w:rPr>
                <w:color w:val="FFFFFF" w:themeColor="background1"/>
                <w:lang w:val="nl-NL"/>
              </w:rPr>
              <w:t xml:space="preserve"> </w:t>
            </w:r>
            <w:r w:rsidRPr="006C2BB6">
              <w:rPr>
                <w:color w:val="FFFFFF" w:themeColor="background1"/>
                <w:lang w:val="nl-NL"/>
              </w:rPr>
              <w:t>Regie van de opdracht, 1.2/ Afwijkingen</w:t>
            </w:r>
            <w:r w:rsidRPr="006C2BB6">
              <w:rPr>
                <w:color w:val="FFFFFF" w:themeColor="background1"/>
                <w:lang w:val="nl-NL"/>
              </w:rPr>
              <w:t xml:space="preserve"> </w:t>
            </w:r>
            <w:r w:rsidRPr="006C2BB6">
              <w:rPr>
                <w:color w:val="FFFFFF" w:themeColor="background1"/>
                <w:lang w:val="nl-NL"/>
              </w:rPr>
              <w:t xml:space="preserve">(pagina </w:t>
            </w:r>
            <w:r>
              <w:rPr>
                <w:color w:val="FFFFFF" w:themeColor="background1"/>
                <w:lang w:val="nl-NL"/>
              </w:rPr>
              <w:t>10</w:t>
            </w:r>
            <w:r w:rsidRPr="006C2BB6">
              <w:rPr>
                <w:color w:val="FFFFFF" w:themeColor="background1"/>
                <w:lang w:val="nl-NL"/>
              </w:rPr>
              <w:t>)</w:t>
            </w:r>
          </w:p>
          <w:p w14:paraId="123C83F7" w14:textId="77777777" w:rsidR="00826657" w:rsidRPr="006C2BB6" w:rsidRDefault="00826657" w:rsidP="00DE3462">
            <w:pPr>
              <w:spacing w:after="60"/>
              <w:jc w:val="both"/>
              <w:rPr>
                <w:b/>
                <w:bCs/>
                <w:lang w:val="nl-NL"/>
              </w:rPr>
            </w:pPr>
          </w:p>
        </w:tc>
      </w:tr>
      <w:tr w:rsidR="00826657" w:rsidRPr="006C2BB6" w14:paraId="7EB792D2" w14:textId="77777777" w:rsidTr="006C2BB6">
        <w:trPr>
          <w:trHeight w:val="851"/>
        </w:trPr>
        <w:tc>
          <w:tcPr>
            <w:tcW w:w="4291" w:type="dxa"/>
            <w:vAlign w:val="center"/>
          </w:tcPr>
          <w:p w14:paraId="026C1B3F" w14:textId="117DF6DD" w:rsidR="00826657" w:rsidRDefault="006C2BB6" w:rsidP="00DE3462">
            <w:pPr>
              <w:spacing w:after="60"/>
              <w:jc w:val="both"/>
            </w:pPr>
            <w:r w:rsidRPr="006C2BB6">
              <w:rPr>
                <w:b/>
                <w:bCs/>
              </w:rPr>
              <w:t>“</w:t>
            </w:r>
            <w:r w:rsidRPr="00BA78F6">
              <w:t>En dérogation à l’article</w:t>
            </w:r>
            <w:r>
              <w:t xml:space="preserve"> </w:t>
            </w:r>
            <w:r w:rsidRPr="006C2BB6">
              <w:t>53 du Code des sociétés</w:t>
            </w:r>
            <w:r w:rsidRPr="00BA78F6">
              <w:t xml:space="preserve">, </w:t>
            </w:r>
            <w:r>
              <w:t xml:space="preserve">les </w:t>
            </w:r>
            <w:r w:rsidRPr="00BA78F6">
              <w:t>membres du groupement d’opérateurs économiques ne verront leur</w:t>
            </w:r>
            <w:r w:rsidRPr="000625E2">
              <w:t xml:space="preserve"> responsabilité respective mise en cause que dans les limites de l’accomplissement de leur mission propre</w:t>
            </w:r>
            <w:r>
              <w:t> »</w:t>
            </w:r>
          </w:p>
          <w:p w14:paraId="15541F39" w14:textId="77777777" w:rsidR="006C2BB6" w:rsidRDefault="006C2BB6" w:rsidP="00DE3462">
            <w:pPr>
              <w:spacing w:after="60"/>
              <w:jc w:val="both"/>
              <w:rPr>
                <w:b/>
                <w:bCs/>
              </w:rPr>
            </w:pPr>
          </w:p>
          <w:p w14:paraId="1B45C692" w14:textId="77777777" w:rsidR="006C2BB6" w:rsidRDefault="006C2BB6" w:rsidP="00DE3462">
            <w:pPr>
              <w:spacing w:after="60"/>
              <w:jc w:val="both"/>
              <w:rPr>
                <w:b/>
                <w:bCs/>
              </w:rPr>
            </w:pPr>
            <w:r>
              <w:rPr>
                <w:b/>
                <w:bCs/>
              </w:rPr>
              <w:t>Est remplacé par :</w:t>
            </w:r>
          </w:p>
          <w:p w14:paraId="3F039A9C" w14:textId="77777777" w:rsidR="006C2BB6" w:rsidRDefault="006C2BB6" w:rsidP="00DE3462">
            <w:pPr>
              <w:spacing w:after="60"/>
              <w:jc w:val="both"/>
              <w:rPr>
                <w:b/>
                <w:bCs/>
              </w:rPr>
            </w:pPr>
          </w:p>
          <w:p w14:paraId="1BA2CE5D" w14:textId="3E588B23" w:rsidR="006C2BB6" w:rsidRPr="006C2BB6" w:rsidRDefault="006C2BB6" w:rsidP="00DE3462">
            <w:pPr>
              <w:spacing w:after="60"/>
              <w:jc w:val="both"/>
              <w:rPr>
                <w:b/>
                <w:bCs/>
              </w:rPr>
            </w:pPr>
            <w:r w:rsidRPr="006C2BB6">
              <w:t>« </w:t>
            </w:r>
            <w:r w:rsidRPr="006C2BB6">
              <w:t>En dérogation à l’article 4.14 du Code des sociétés et des associations, les membres du groupement d’opérateurs économiques ne verront leur responsabilité respective mise en cause que dans les limites de</w:t>
            </w:r>
            <w:r w:rsidRPr="006C2BB6">
              <w:rPr>
                <w:b/>
                <w:bCs/>
              </w:rPr>
              <w:t xml:space="preserve"> </w:t>
            </w:r>
            <w:r w:rsidRPr="006C2BB6">
              <w:t>l’accomplissement de leur mission propre.</w:t>
            </w:r>
          </w:p>
        </w:tc>
        <w:tc>
          <w:tcPr>
            <w:tcW w:w="4771" w:type="dxa"/>
            <w:gridSpan w:val="2"/>
            <w:vAlign w:val="center"/>
          </w:tcPr>
          <w:p w14:paraId="3BDD2ABA" w14:textId="78B08504" w:rsidR="00826657" w:rsidRPr="006C2BB6" w:rsidRDefault="006C2BB6" w:rsidP="00DE3462">
            <w:pPr>
              <w:spacing w:after="60"/>
              <w:jc w:val="both"/>
              <w:rPr>
                <w:lang w:val="nl-NL"/>
              </w:rPr>
            </w:pPr>
            <w:r w:rsidRPr="006C2BB6">
              <w:rPr>
                <w:lang w:val="nl-NL"/>
              </w:rPr>
              <w:t>« </w:t>
            </w:r>
            <w:r w:rsidRPr="006C2BB6">
              <w:rPr>
                <w:lang w:val="nl-NL"/>
              </w:rPr>
              <w:t>In afwijking van artikel 53 van het Wetboek van Vennootschappen zullen de leden van de combinatie van ondernemers, slechts aansprakelijk kunnen worden gesteld binnen de grenzen van de uitvoering van hun eigen opdracht.</w:t>
            </w:r>
            <w:r w:rsidRPr="006C2BB6">
              <w:rPr>
                <w:lang w:val="nl-NL"/>
              </w:rPr>
              <w:t> »</w:t>
            </w:r>
          </w:p>
          <w:p w14:paraId="20709A90" w14:textId="77777777" w:rsidR="006C2BB6" w:rsidRDefault="006C2BB6" w:rsidP="00DE3462">
            <w:pPr>
              <w:spacing w:after="60"/>
              <w:jc w:val="both"/>
              <w:rPr>
                <w:b/>
                <w:bCs/>
                <w:lang w:val="nl-NL"/>
              </w:rPr>
            </w:pPr>
          </w:p>
          <w:p w14:paraId="11431E05" w14:textId="77777777" w:rsidR="006C2BB6" w:rsidRPr="00A12A54" w:rsidRDefault="006C2BB6" w:rsidP="006C2BB6">
            <w:pPr>
              <w:spacing w:after="60"/>
              <w:jc w:val="both"/>
              <w:rPr>
                <w:b/>
                <w:bCs/>
                <w:lang w:val="nl-NL"/>
              </w:rPr>
            </w:pPr>
            <w:r w:rsidRPr="00A12A54">
              <w:rPr>
                <w:b/>
                <w:bCs/>
                <w:lang w:val="nl-NL"/>
              </w:rPr>
              <w:t xml:space="preserve">Vervangen door : </w:t>
            </w:r>
          </w:p>
          <w:p w14:paraId="4608BD12" w14:textId="77777777" w:rsidR="006C2BB6" w:rsidRPr="006C2BB6" w:rsidRDefault="006C2BB6" w:rsidP="00DE3462">
            <w:pPr>
              <w:spacing w:after="60"/>
              <w:jc w:val="both"/>
              <w:rPr>
                <w:lang w:val="nl-NL"/>
              </w:rPr>
            </w:pPr>
          </w:p>
          <w:p w14:paraId="4FD37836" w14:textId="4AD8F126" w:rsidR="006C2BB6" w:rsidRPr="006C2BB6" w:rsidRDefault="006C2BB6" w:rsidP="00DE3462">
            <w:pPr>
              <w:spacing w:after="60"/>
              <w:jc w:val="both"/>
              <w:rPr>
                <w:b/>
                <w:bCs/>
                <w:lang w:val="nl-NL"/>
              </w:rPr>
            </w:pPr>
            <w:r w:rsidRPr="006C2BB6">
              <w:rPr>
                <w:lang w:val="nl-NL"/>
              </w:rPr>
              <w:t>“</w:t>
            </w:r>
            <w:r w:rsidRPr="006C2BB6">
              <w:rPr>
                <w:lang w:val="nl-NL"/>
              </w:rPr>
              <w:t>In afwijking van artikel 4.14 van het Wetboek van vennootschappen en verenigingen zullen de leden van de combinatie van ondernemers, slechts aansprakelijk kunnen worden gesteld binnen de grenzen van de uitvoering van hun eigen opdracht.</w:t>
            </w:r>
            <w:r>
              <w:rPr>
                <w:lang w:val="nl-NL"/>
              </w:rPr>
              <w:t>”</w:t>
            </w:r>
          </w:p>
        </w:tc>
      </w:tr>
      <w:tr w:rsidR="00DE3462" w:rsidRPr="00DE3462" w14:paraId="012A48BF" w14:textId="77777777" w:rsidTr="006C2BB6">
        <w:trPr>
          <w:trHeight w:val="851"/>
        </w:trPr>
        <w:tc>
          <w:tcPr>
            <w:tcW w:w="4291" w:type="dxa"/>
            <w:shd w:val="clear" w:color="auto" w:fill="00A4B7"/>
            <w:vAlign w:val="center"/>
          </w:tcPr>
          <w:p w14:paraId="69D01339" w14:textId="2D115899" w:rsidR="00DE3462" w:rsidRPr="006C2BB6" w:rsidRDefault="00DE3462" w:rsidP="00DE3462">
            <w:pPr>
              <w:spacing w:after="60"/>
              <w:jc w:val="center"/>
              <w:rPr>
                <w:color w:val="FFFFFF" w:themeColor="background1"/>
              </w:rPr>
            </w:pPr>
            <w:r w:rsidRPr="006C2BB6">
              <w:rPr>
                <w:color w:val="FFFFFF" w:themeColor="background1"/>
              </w:rPr>
              <w:t>AR DU 18 AVRIL 2017,  Art. 77 : Forme de l’offre,  2. Format électronique</w:t>
            </w:r>
            <w:r w:rsidR="000207C8" w:rsidRPr="006C2BB6">
              <w:rPr>
                <w:color w:val="FFFFFF" w:themeColor="background1"/>
              </w:rPr>
              <w:t xml:space="preserve"> (pages 17-18)</w:t>
            </w:r>
          </w:p>
        </w:tc>
        <w:tc>
          <w:tcPr>
            <w:tcW w:w="4771" w:type="dxa"/>
            <w:gridSpan w:val="2"/>
            <w:shd w:val="clear" w:color="auto" w:fill="00A4B7"/>
            <w:vAlign w:val="center"/>
          </w:tcPr>
          <w:p w14:paraId="6E7E5FB3" w14:textId="4728CFA0" w:rsidR="00DE3462" w:rsidRPr="006C2BB6" w:rsidRDefault="00DE3462" w:rsidP="00DE3462">
            <w:pPr>
              <w:spacing w:after="60"/>
              <w:jc w:val="center"/>
              <w:rPr>
                <w:color w:val="FFFFFF" w:themeColor="background1"/>
                <w:lang w:val="nl-NL"/>
              </w:rPr>
            </w:pPr>
            <w:r w:rsidRPr="006C2BB6">
              <w:rPr>
                <w:color w:val="FFFFFF" w:themeColor="background1"/>
                <w:lang w:val="nl-NL"/>
              </w:rPr>
              <w:t>KB VAN 18 APRIL 2017, Art. 77 : Vorm van de offerte, 2.</w:t>
            </w:r>
            <w:r w:rsidRPr="006C2BB6">
              <w:rPr>
                <w:color w:val="FFFFFF" w:themeColor="background1"/>
                <w:lang w:val="nl-NL"/>
              </w:rPr>
              <w:tab/>
              <w:t>Elektronisch formaat</w:t>
            </w:r>
            <w:r w:rsidR="000207C8" w:rsidRPr="006C2BB6">
              <w:rPr>
                <w:color w:val="FFFFFF" w:themeColor="background1"/>
                <w:lang w:val="nl-NL"/>
              </w:rPr>
              <w:t xml:space="preserve"> (pagina 20)</w:t>
            </w:r>
          </w:p>
        </w:tc>
      </w:tr>
      <w:tr w:rsidR="00DE3462" w:rsidRPr="007953A5" w14:paraId="6CCADDAE" w14:textId="77777777" w:rsidTr="006C2BB6">
        <w:trPr>
          <w:trHeight w:val="851"/>
        </w:trPr>
        <w:tc>
          <w:tcPr>
            <w:tcW w:w="4291" w:type="dxa"/>
            <w:vAlign w:val="center"/>
          </w:tcPr>
          <w:p w14:paraId="654A1F3E" w14:textId="77777777" w:rsidR="00A12A54" w:rsidRDefault="00A12A54" w:rsidP="00DE3462">
            <w:pPr>
              <w:spacing w:after="60"/>
              <w:jc w:val="both"/>
              <w:rPr>
                <w:rFonts w:eastAsia="Times New Roman" w:cs="Arial"/>
                <w:lang w:eastAsia="fr-FR"/>
              </w:rPr>
            </w:pPr>
          </w:p>
          <w:p w14:paraId="658C87CD" w14:textId="1201ACAD" w:rsidR="000207C8" w:rsidRPr="000207C8" w:rsidRDefault="000207C8" w:rsidP="00DE3462">
            <w:pPr>
              <w:spacing w:after="60"/>
              <w:jc w:val="both"/>
              <w:rPr>
                <w:rFonts w:eastAsia="Times New Roman" w:cs="Arial"/>
                <w:lang w:eastAsia="fr-FR"/>
              </w:rPr>
            </w:pPr>
            <w:r w:rsidRPr="000207C8">
              <w:rPr>
                <w:rFonts w:eastAsia="Times New Roman" w:cs="Arial"/>
                <w:lang w:eastAsia="fr-FR"/>
              </w:rPr>
              <w:t>“Art. 78 : Contenu de l’offre”</w:t>
            </w:r>
          </w:p>
          <w:p w14:paraId="2651CF76" w14:textId="77777777" w:rsidR="000207C8" w:rsidRDefault="000207C8" w:rsidP="00DE3462">
            <w:pPr>
              <w:spacing w:after="60"/>
              <w:jc w:val="both"/>
              <w:rPr>
                <w:rFonts w:eastAsia="Times New Roman" w:cs="Arial"/>
                <w:lang w:eastAsia="fr-FR"/>
              </w:rPr>
            </w:pPr>
          </w:p>
          <w:p w14:paraId="31B127BE" w14:textId="225B7102" w:rsidR="000207C8" w:rsidRPr="00A12A54" w:rsidRDefault="000207C8" w:rsidP="00DE3462">
            <w:pPr>
              <w:spacing w:after="60"/>
              <w:jc w:val="both"/>
              <w:rPr>
                <w:rFonts w:eastAsia="Times New Roman" w:cs="Arial"/>
                <w:b/>
                <w:bCs/>
                <w:lang w:eastAsia="fr-FR"/>
              </w:rPr>
            </w:pPr>
            <w:r w:rsidRPr="00A12A54">
              <w:rPr>
                <w:rFonts w:eastAsia="Times New Roman" w:cs="Arial"/>
                <w:b/>
                <w:bCs/>
                <w:lang w:eastAsia="fr-FR"/>
              </w:rPr>
              <w:t>Est remplacé par :</w:t>
            </w:r>
          </w:p>
          <w:p w14:paraId="2BA3EBEC" w14:textId="77777777" w:rsidR="000207C8" w:rsidRPr="000207C8" w:rsidRDefault="000207C8" w:rsidP="00DE3462">
            <w:pPr>
              <w:spacing w:after="60"/>
              <w:jc w:val="both"/>
              <w:rPr>
                <w:rFonts w:eastAsia="Times New Roman" w:cs="Arial"/>
                <w:lang w:eastAsia="fr-FR"/>
              </w:rPr>
            </w:pPr>
          </w:p>
          <w:p w14:paraId="219532C8" w14:textId="77777777" w:rsidR="00DE3462" w:rsidRDefault="000207C8" w:rsidP="00DE3462">
            <w:pPr>
              <w:spacing w:after="60"/>
              <w:jc w:val="both"/>
              <w:rPr>
                <w:rFonts w:eastAsia="Times New Roman" w:cs="Arial"/>
                <w:lang w:eastAsia="fr-FR"/>
              </w:rPr>
            </w:pPr>
            <w:r>
              <w:rPr>
                <w:rFonts w:eastAsia="Times New Roman" w:cs="Arial"/>
                <w:lang w:eastAsia="fr-FR"/>
              </w:rPr>
              <w:t>« </w:t>
            </w:r>
            <w:r w:rsidR="00DE3462" w:rsidRPr="000D6C8E">
              <w:rPr>
                <w:rFonts w:eastAsia="Times New Roman" w:cs="Arial"/>
                <w:lang w:eastAsia="fr-FR"/>
              </w:rPr>
              <w:t>3.2 Composition de l’esquisse (documents à remettre à l’offre)</w:t>
            </w:r>
            <w:r w:rsidR="00DE3462" w:rsidRPr="000D6C8E">
              <w:rPr>
                <w:rFonts w:eastAsia="Times New Roman" w:cs="Arial"/>
                <w:lang w:eastAsia="fr-FR"/>
              </w:rPr>
              <w:tab/>
            </w:r>
            <w:r w:rsidR="00DE3462">
              <w:rPr>
                <w:rFonts w:eastAsia="Times New Roman" w:cs="Arial"/>
                <w:lang w:eastAsia="fr-FR"/>
              </w:rPr>
              <w:t>de l’Annexe 3_</w:t>
            </w:r>
            <w:r w:rsidR="00DE3462" w:rsidRPr="000D6C8E">
              <w:rPr>
                <w:rFonts w:eastAsia="Times New Roman" w:cs="Arial"/>
                <w:lang w:eastAsia="fr-FR"/>
              </w:rPr>
              <w:t xml:space="preserve">Description </w:t>
            </w:r>
            <w:proofErr w:type="spellStart"/>
            <w:r w:rsidR="00DE3462" w:rsidRPr="000D6C8E">
              <w:rPr>
                <w:rFonts w:eastAsia="Times New Roman" w:cs="Arial"/>
                <w:lang w:eastAsia="fr-FR"/>
              </w:rPr>
              <w:t>marché</w:t>
            </w:r>
            <w:r w:rsidR="00DE3462">
              <w:rPr>
                <w:rFonts w:eastAsia="Times New Roman" w:cs="Arial"/>
                <w:lang w:eastAsia="fr-FR"/>
              </w:rPr>
              <w:t>_</w:t>
            </w:r>
            <w:r w:rsidR="00DE3462" w:rsidRPr="000D6C8E">
              <w:rPr>
                <w:rFonts w:eastAsia="Times New Roman" w:cs="Arial"/>
                <w:lang w:eastAsia="fr-FR"/>
              </w:rPr>
              <w:t>Fiche</w:t>
            </w:r>
            <w:proofErr w:type="spellEnd"/>
            <w:r w:rsidR="00DE3462" w:rsidRPr="000D6C8E">
              <w:rPr>
                <w:rFonts w:eastAsia="Times New Roman" w:cs="Arial"/>
                <w:lang w:eastAsia="fr-FR"/>
              </w:rPr>
              <w:t xml:space="preserve"> technique détaillée.</w:t>
            </w:r>
            <w:r>
              <w:rPr>
                <w:rFonts w:eastAsia="Times New Roman" w:cs="Arial"/>
                <w:lang w:eastAsia="fr-FR"/>
              </w:rPr>
              <w:t> »</w:t>
            </w:r>
          </w:p>
          <w:p w14:paraId="0FAA6CF1" w14:textId="0C236C8B" w:rsidR="00A12A54" w:rsidRPr="00DE3462" w:rsidRDefault="00A12A54" w:rsidP="00DE3462">
            <w:pPr>
              <w:spacing w:after="60"/>
              <w:jc w:val="both"/>
            </w:pPr>
          </w:p>
        </w:tc>
        <w:tc>
          <w:tcPr>
            <w:tcW w:w="4771" w:type="dxa"/>
            <w:gridSpan w:val="2"/>
            <w:vAlign w:val="center"/>
          </w:tcPr>
          <w:p w14:paraId="5F5CD4BB" w14:textId="77777777" w:rsidR="000207C8" w:rsidRDefault="000207C8" w:rsidP="00DE3462">
            <w:pPr>
              <w:spacing w:after="60"/>
              <w:jc w:val="both"/>
              <w:rPr>
                <w:lang w:val="nl-NL"/>
              </w:rPr>
            </w:pPr>
            <w:r>
              <w:rPr>
                <w:lang w:val="nl-NL"/>
              </w:rPr>
              <w:t>“</w:t>
            </w:r>
            <w:r w:rsidRPr="000207C8">
              <w:rPr>
                <w:lang w:val="nl-NL"/>
              </w:rPr>
              <w:t>art. 78: Inhoud van de offerte</w:t>
            </w:r>
            <w:r>
              <w:rPr>
                <w:lang w:val="nl-NL"/>
              </w:rPr>
              <w:t>”</w:t>
            </w:r>
          </w:p>
          <w:p w14:paraId="3012947C" w14:textId="77777777" w:rsidR="000207C8" w:rsidRDefault="000207C8" w:rsidP="00DE3462">
            <w:pPr>
              <w:spacing w:after="60"/>
              <w:jc w:val="both"/>
              <w:rPr>
                <w:lang w:val="nl-NL"/>
              </w:rPr>
            </w:pPr>
          </w:p>
          <w:p w14:paraId="00A12A13" w14:textId="77777777" w:rsidR="000207C8" w:rsidRPr="00A12A54" w:rsidRDefault="000207C8" w:rsidP="00DE3462">
            <w:pPr>
              <w:spacing w:after="60"/>
              <w:jc w:val="both"/>
              <w:rPr>
                <w:b/>
                <w:bCs/>
                <w:lang w:val="nl-NL"/>
              </w:rPr>
            </w:pPr>
            <w:r w:rsidRPr="00A12A54">
              <w:rPr>
                <w:b/>
                <w:bCs/>
                <w:lang w:val="nl-NL"/>
              </w:rPr>
              <w:t xml:space="preserve">Vervangen door : </w:t>
            </w:r>
          </w:p>
          <w:p w14:paraId="0FCA48C4" w14:textId="77777777" w:rsidR="000207C8" w:rsidRDefault="000207C8" w:rsidP="00DE3462">
            <w:pPr>
              <w:spacing w:after="60"/>
              <w:jc w:val="both"/>
              <w:rPr>
                <w:lang w:val="nl-NL"/>
              </w:rPr>
            </w:pPr>
          </w:p>
          <w:p w14:paraId="18220948" w14:textId="41D7D319" w:rsidR="00DE3462" w:rsidRPr="000207C8" w:rsidRDefault="000207C8" w:rsidP="00DE3462">
            <w:pPr>
              <w:spacing w:after="60"/>
              <w:jc w:val="both"/>
              <w:rPr>
                <w:lang w:val="nl-NL"/>
              </w:rPr>
            </w:pPr>
            <w:r>
              <w:rPr>
                <w:lang w:val="nl-NL"/>
              </w:rPr>
              <w:t>“</w:t>
            </w:r>
            <w:r w:rsidRPr="000207C8">
              <w:rPr>
                <w:lang w:val="nl-NL"/>
              </w:rPr>
              <w:t xml:space="preserve">3.2 Samenstelling van de schets (bij de offerte in te dienen documenten van bijlage 3: </w:t>
            </w:r>
            <w:proofErr w:type="spellStart"/>
            <w:r w:rsidRPr="000207C8">
              <w:rPr>
                <w:lang w:val="nl-NL"/>
              </w:rPr>
              <w:t>Description</w:t>
            </w:r>
            <w:proofErr w:type="spellEnd"/>
            <w:r w:rsidRPr="000207C8">
              <w:rPr>
                <w:lang w:val="nl-NL"/>
              </w:rPr>
              <w:t xml:space="preserve"> </w:t>
            </w:r>
            <w:proofErr w:type="spellStart"/>
            <w:r w:rsidRPr="000207C8">
              <w:rPr>
                <w:lang w:val="nl-NL"/>
              </w:rPr>
              <w:t>marché_Fiche</w:t>
            </w:r>
            <w:proofErr w:type="spellEnd"/>
            <w:r w:rsidRPr="000207C8">
              <w:rPr>
                <w:lang w:val="nl-NL"/>
              </w:rPr>
              <w:t xml:space="preserve"> </w:t>
            </w:r>
            <w:proofErr w:type="spellStart"/>
            <w:r w:rsidRPr="000207C8">
              <w:rPr>
                <w:lang w:val="nl-NL"/>
              </w:rPr>
              <w:t>technique</w:t>
            </w:r>
            <w:proofErr w:type="spellEnd"/>
            <w:r w:rsidRPr="000207C8">
              <w:rPr>
                <w:lang w:val="nl-NL"/>
              </w:rPr>
              <w:t xml:space="preserve"> </w:t>
            </w:r>
            <w:proofErr w:type="spellStart"/>
            <w:r w:rsidRPr="000207C8">
              <w:rPr>
                <w:lang w:val="nl-NL"/>
              </w:rPr>
              <w:t>détaillée_NL</w:t>
            </w:r>
            <w:proofErr w:type="spellEnd"/>
            <w:r>
              <w:rPr>
                <w:lang w:val="nl-NL"/>
              </w:rPr>
              <w:t>”</w:t>
            </w:r>
          </w:p>
        </w:tc>
      </w:tr>
      <w:tr w:rsidR="006C2BB6" w:rsidRPr="006C2BB6" w14:paraId="4D60FE7F" w14:textId="77777777" w:rsidTr="006C2BB6">
        <w:trPr>
          <w:trHeight w:val="851"/>
        </w:trPr>
        <w:tc>
          <w:tcPr>
            <w:tcW w:w="4291" w:type="dxa"/>
            <w:shd w:val="clear" w:color="auto" w:fill="00A4B7"/>
            <w:vAlign w:val="center"/>
          </w:tcPr>
          <w:p w14:paraId="7C70CD00" w14:textId="161EF334" w:rsidR="006C2BB6" w:rsidRDefault="006C2BB6" w:rsidP="00DE3462">
            <w:pPr>
              <w:spacing w:after="60"/>
              <w:jc w:val="both"/>
              <w:rPr>
                <w:rFonts w:eastAsia="Times New Roman" w:cs="Arial"/>
                <w:lang w:eastAsia="fr-FR"/>
              </w:rPr>
            </w:pPr>
            <w:r w:rsidRPr="006C2BB6">
              <w:rPr>
                <w:color w:val="FFFFFF" w:themeColor="background1"/>
              </w:rPr>
              <w:t>PARTIE 1: GENERALITES,</w:t>
            </w:r>
            <w:r>
              <w:rPr>
                <w:color w:val="FFFFFF" w:themeColor="background1"/>
              </w:rPr>
              <w:t xml:space="preserve"> </w:t>
            </w:r>
            <w:r w:rsidRPr="006C2BB6">
              <w:rPr>
                <w:color w:val="FFFFFF" w:themeColor="background1"/>
              </w:rPr>
              <w:t>5/</w:t>
            </w:r>
            <w:r>
              <w:rPr>
                <w:color w:val="FFFFFF" w:themeColor="background1"/>
              </w:rPr>
              <w:t xml:space="preserve"> </w:t>
            </w:r>
            <w:r w:rsidRPr="006C2BB6">
              <w:rPr>
                <w:color w:val="FFFFFF" w:themeColor="background1"/>
              </w:rPr>
              <w:t>Soumissionnaire / Adjudicataire</w:t>
            </w:r>
            <w:r>
              <w:rPr>
                <w:color w:val="FFFFFF" w:themeColor="background1"/>
              </w:rPr>
              <w:t xml:space="preserve">, </w:t>
            </w:r>
            <w:r w:rsidRPr="006C2BB6">
              <w:rPr>
                <w:color w:val="FFFFFF" w:themeColor="background1"/>
              </w:rPr>
              <w:t>5.1. Généralités</w:t>
            </w:r>
            <w:r>
              <w:rPr>
                <w:color w:val="FFFFFF" w:themeColor="background1"/>
              </w:rPr>
              <w:t xml:space="preserve"> (page 14)</w:t>
            </w:r>
          </w:p>
        </w:tc>
        <w:tc>
          <w:tcPr>
            <w:tcW w:w="4771" w:type="dxa"/>
            <w:gridSpan w:val="2"/>
            <w:shd w:val="clear" w:color="auto" w:fill="00A4B7"/>
            <w:vAlign w:val="center"/>
          </w:tcPr>
          <w:p w14:paraId="0E75844C" w14:textId="048C4F71" w:rsidR="006C2BB6" w:rsidRPr="006C2BB6" w:rsidRDefault="006C2BB6" w:rsidP="00DE3462">
            <w:pPr>
              <w:spacing w:after="60"/>
              <w:jc w:val="both"/>
              <w:rPr>
                <w:lang w:val="nl-NL"/>
              </w:rPr>
            </w:pPr>
            <w:r w:rsidRPr="006C2BB6">
              <w:rPr>
                <w:color w:val="FFFFFF" w:themeColor="background1"/>
                <w:lang w:val="nl-NL"/>
              </w:rPr>
              <w:t>DEEL 1: ALGEMEEN, 5/</w:t>
            </w:r>
            <w:r>
              <w:rPr>
                <w:color w:val="FFFFFF" w:themeColor="background1"/>
                <w:lang w:val="nl-NL"/>
              </w:rPr>
              <w:t xml:space="preserve"> </w:t>
            </w:r>
            <w:r w:rsidRPr="006C2BB6">
              <w:rPr>
                <w:color w:val="FFFFFF" w:themeColor="background1"/>
                <w:lang w:val="nl-NL"/>
              </w:rPr>
              <w:t>Inschrijver</w:t>
            </w:r>
            <w:r>
              <w:rPr>
                <w:color w:val="FFFFFF" w:themeColor="background1"/>
                <w:lang w:val="nl-NL"/>
              </w:rPr>
              <w:t xml:space="preserve"> </w:t>
            </w:r>
            <w:r w:rsidRPr="006C2BB6">
              <w:rPr>
                <w:color w:val="FFFFFF" w:themeColor="background1"/>
                <w:lang w:val="nl-NL"/>
              </w:rPr>
              <w:t>/ Opdrachtnemer</w:t>
            </w:r>
            <w:r>
              <w:rPr>
                <w:color w:val="FFFFFF" w:themeColor="background1"/>
                <w:lang w:val="nl-NL"/>
              </w:rPr>
              <w:t xml:space="preserve">, </w:t>
            </w:r>
            <w:r w:rsidRPr="006C2BB6">
              <w:rPr>
                <w:color w:val="FFFFFF" w:themeColor="background1"/>
                <w:lang w:val="nl-NL"/>
              </w:rPr>
              <w:t>5.1.</w:t>
            </w:r>
            <w:r>
              <w:rPr>
                <w:color w:val="FFFFFF" w:themeColor="background1"/>
                <w:lang w:val="nl-NL"/>
              </w:rPr>
              <w:t xml:space="preserve"> </w:t>
            </w:r>
            <w:r w:rsidRPr="006C2BB6">
              <w:rPr>
                <w:color w:val="FFFFFF" w:themeColor="background1"/>
                <w:lang w:val="nl-NL"/>
              </w:rPr>
              <w:t>Algemeen (pagina 1</w:t>
            </w:r>
            <w:r>
              <w:rPr>
                <w:color w:val="FFFFFF" w:themeColor="background1"/>
                <w:lang w:val="nl-NL"/>
              </w:rPr>
              <w:t>5</w:t>
            </w:r>
            <w:r w:rsidRPr="006C2BB6">
              <w:rPr>
                <w:color w:val="FFFFFF" w:themeColor="background1"/>
                <w:lang w:val="nl-NL"/>
              </w:rPr>
              <w:t>)</w:t>
            </w:r>
          </w:p>
        </w:tc>
      </w:tr>
      <w:tr w:rsidR="006C2BB6" w:rsidRPr="006C2BB6" w14:paraId="602F7817" w14:textId="77777777" w:rsidTr="006C2BB6">
        <w:trPr>
          <w:trHeight w:val="851"/>
        </w:trPr>
        <w:tc>
          <w:tcPr>
            <w:tcW w:w="4291" w:type="dxa"/>
            <w:vAlign w:val="center"/>
          </w:tcPr>
          <w:p w14:paraId="20D2BFD7" w14:textId="77777777" w:rsidR="006C2BB6" w:rsidRDefault="006C2BB6" w:rsidP="006C2BB6">
            <w:pPr>
              <w:spacing w:after="60"/>
              <w:jc w:val="both"/>
            </w:pPr>
            <w:r w:rsidRPr="006C2BB6">
              <w:rPr>
                <w:b/>
                <w:bCs/>
              </w:rPr>
              <w:t>“</w:t>
            </w:r>
            <w:r w:rsidRPr="00BA78F6">
              <w:t>En dérogation à l’article</w:t>
            </w:r>
            <w:r>
              <w:t xml:space="preserve"> </w:t>
            </w:r>
            <w:r w:rsidRPr="006C2BB6">
              <w:t>53 du Code des sociétés</w:t>
            </w:r>
            <w:r w:rsidRPr="00BA78F6">
              <w:t xml:space="preserve">, </w:t>
            </w:r>
            <w:r>
              <w:t xml:space="preserve">les </w:t>
            </w:r>
            <w:r w:rsidRPr="00BA78F6">
              <w:t>membres du groupement d’opérateurs économiques ne verront leur</w:t>
            </w:r>
            <w:r w:rsidRPr="000625E2">
              <w:t xml:space="preserve"> responsabilité respective mise en cause que dans les limites de l’accomplissement de leur mission propre</w:t>
            </w:r>
            <w:r>
              <w:t> »</w:t>
            </w:r>
          </w:p>
          <w:p w14:paraId="5016583F" w14:textId="77777777" w:rsidR="006C2BB6" w:rsidRDefault="006C2BB6" w:rsidP="006C2BB6">
            <w:pPr>
              <w:spacing w:after="60"/>
              <w:jc w:val="both"/>
              <w:rPr>
                <w:b/>
                <w:bCs/>
              </w:rPr>
            </w:pPr>
          </w:p>
          <w:p w14:paraId="04444B1F" w14:textId="77777777" w:rsidR="006C2BB6" w:rsidRDefault="006C2BB6" w:rsidP="006C2BB6">
            <w:pPr>
              <w:spacing w:after="60"/>
              <w:jc w:val="both"/>
              <w:rPr>
                <w:b/>
                <w:bCs/>
              </w:rPr>
            </w:pPr>
            <w:r>
              <w:rPr>
                <w:b/>
                <w:bCs/>
              </w:rPr>
              <w:t>Est remplacé par :</w:t>
            </w:r>
          </w:p>
          <w:p w14:paraId="4B029CC2" w14:textId="77777777" w:rsidR="006C2BB6" w:rsidRDefault="006C2BB6" w:rsidP="006C2BB6">
            <w:pPr>
              <w:spacing w:after="60"/>
              <w:jc w:val="both"/>
              <w:rPr>
                <w:b/>
                <w:bCs/>
              </w:rPr>
            </w:pPr>
          </w:p>
          <w:p w14:paraId="2AC900F7" w14:textId="3E4496AB" w:rsidR="006C2BB6" w:rsidRDefault="006C2BB6" w:rsidP="006C2BB6">
            <w:pPr>
              <w:spacing w:after="60"/>
              <w:jc w:val="both"/>
              <w:rPr>
                <w:rFonts w:eastAsia="Times New Roman" w:cs="Arial"/>
                <w:lang w:eastAsia="fr-FR"/>
              </w:rPr>
            </w:pPr>
            <w:r w:rsidRPr="006C2BB6">
              <w:t>« En dérogation à l’article 4.14 du Code des sociétés et des associations, les membres du groupement d’opérateurs économiques ne verront leur responsabilité respective mise en cause que dans les limites de</w:t>
            </w:r>
            <w:r w:rsidRPr="006C2BB6">
              <w:rPr>
                <w:b/>
                <w:bCs/>
              </w:rPr>
              <w:t xml:space="preserve"> </w:t>
            </w:r>
            <w:r w:rsidRPr="006C2BB6">
              <w:t>l’accomplissement de leur mission propre.</w:t>
            </w:r>
          </w:p>
        </w:tc>
        <w:tc>
          <w:tcPr>
            <w:tcW w:w="4771" w:type="dxa"/>
            <w:gridSpan w:val="2"/>
            <w:vAlign w:val="center"/>
          </w:tcPr>
          <w:p w14:paraId="26D21855" w14:textId="77777777" w:rsidR="006C2BB6" w:rsidRPr="006C2BB6" w:rsidRDefault="006C2BB6" w:rsidP="006C2BB6">
            <w:pPr>
              <w:spacing w:after="60"/>
              <w:jc w:val="both"/>
              <w:rPr>
                <w:lang w:val="nl-NL"/>
              </w:rPr>
            </w:pPr>
            <w:r w:rsidRPr="006C2BB6">
              <w:rPr>
                <w:lang w:val="nl-NL"/>
              </w:rPr>
              <w:t>« In afwijking van artikel 53 van het Wetboek van Vennootschappen zullen de leden van de combinatie van ondernemers, slechts aansprakelijk kunnen worden gesteld binnen de grenzen van de uitvoering van hun eigen opdracht. »</w:t>
            </w:r>
          </w:p>
          <w:p w14:paraId="64FC42BA" w14:textId="77777777" w:rsidR="006C2BB6" w:rsidRPr="006C2BB6" w:rsidRDefault="006C2BB6" w:rsidP="006C2BB6">
            <w:pPr>
              <w:spacing w:after="60"/>
              <w:jc w:val="both"/>
              <w:rPr>
                <w:b/>
                <w:bCs/>
                <w:lang w:val="nl-NL"/>
              </w:rPr>
            </w:pPr>
          </w:p>
          <w:p w14:paraId="3C98CF35" w14:textId="77777777" w:rsidR="006C2BB6" w:rsidRPr="006C2BB6" w:rsidRDefault="006C2BB6" w:rsidP="006C2BB6">
            <w:pPr>
              <w:spacing w:after="60"/>
              <w:jc w:val="both"/>
              <w:rPr>
                <w:b/>
                <w:bCs/>
                <w:lang w:val="nl-NL"/>
              </w:rPr>
            </w:pPr>
            <w:r w:rsidRPr="006C2BB6">
              <w:rPr>
                <w:b/>
                <w:bCs/>
                <w:lang w:val="nl-NL"/>
              </w:rPr>
              <w:t xml:space="preserve">Vervangen door : </w:t>
            </w:r>
          </w:p>
          <w:p w14:paraId="4D5204D6" w14:textId="77777777" w:rsidR="006C2BB6" w:rsidRPr="006C2BB6" w:rsidRDefault="006C2BB6" w:rsidP="006C2BB6">
            <w:pPr>
              <w:spacing w:after="60"/>
              <w:jc w:val="both"/>
              <w:rPr>
                <w:lang w:val="nl-NL"/>
              </w:rPr>
            </w:pPr>
          </w:p>
          <w:p w14:paraId="7C36DFAA" w14:textId="5E9064C0" w:rsidR="006C2BB6" w:rsidRPr="006C2BB6" w:rsidRDefault="006C2BB6" w:rsidP="006C2BB6">
            <w:pPr>
              <w:spacing w:after="60"/>
              <w:jc w:val="both"/>
              <w:rPr>
                <w:lang w:val="nl-NL"/>
              </w:rPr>
            </w:pPr>
            <w:r w:rsidRPr="006C2BB6">
              <w:rPr>
                <w:lang w:val="nl-NL"/>
              </w:rPr>
              <w:t>“In afwijking van artikel 4.14 van het Wetboek van vennootschappen en verenigingen zullen de leden van de combinatie van ondernemers, slechts aansprakelijk kunnen worden gesteld binnen de grenzen van de uitvoering van hun eigen opdracht.”</w:t>
            </w:r>
          </w:p>
        </w:tc>
      </w:tr>
      <w:tr w:rsidR="006C2BB6" w:rsidRPr="007953A5" w14:paraId="79E4AC31" w14:textId="77777777" w:rsidTr="006C2BB6">
        <w:trPr>
          <w:trHeight w:val="851"/>
        </w:trPr>
        <w:tc>
          <w:tcPr>
            <w:tcW w:w="4291" w:type="dxa"/>
            <w:shd w:val="clear" w:color="auto" w:fill="00A4B7"/>
            <w:vAlign w:val="center"/>
          </w:tcPr>
          <w:p w14:paraId="363600E8" w14:textId="2D0F5B0B" w:rsidR="006C2BB6" w:rsidRPr="00A12A54" w:rsidRDefault="006C2BB6" w:rsidP="006C2BB6">
            <w:pPr>
              <w:spacing w:after="60"/>
              <w:jc w:val="both"/>
              <w:rPr>
                <w:rFonts w:eastAsia="Times New Roman" w:cs="Arial"/>
                <w:color w:val="FFFFFF" w:themeColor="background1"/>
                <w:lang w:eastAsia="fr-FR"/>
              </w:rPr>
            </w:pPr>
            <w:r w:rsidRPr="00A12A54">
              <w:rPr>
                <w:rFonts w:eastAsia="Times New Roman" w:cs="Arial"/>
                <w:color w:val="FFFFFF" w:themeColor="background1"/>
                <w:lang w:eastAsia="fr-FR"/>
              </w:rPr>
              <w:t xml:space="preserve">AR DU 14 JANVIER 2013, </w:t>
            </w:r>
            <w:r w:rsidRPr="00A12A54">
              <w:rPr>
                <w:color w:val="FFFFFF" w:themeColor="background1"/>
              </w:rPr>
              <w:t xml:space="preserve"> </w:t>
            </w:r>
            <w:r w:rsidRPr="00A12A54">
              <w:rPr>
                <w:rFonts w:eastAsia="Times New Roman" w:cs="Arial"/>
                <w:color w:val="FFFFFF" w:themeColor="background1"/>
                <w:lang w:eastAsia="fr-FR"/>
              </w:rPr>
              <w:t>Art. 38/7 : Révision des prix (page 23)</w:t>
            </w:r>
          </w:p>
        </w:tc>
        <w:tc>
          <w:tcPr>
            <w:tcW w:w="4771" w:type="dxa"/>
            <w:gridSpan w:val="2"/>
            <w:shd w:val="clear" w:color="auto" w:fill="00A4B7"/>
            <w:vAlign w:val="center"/>
          </w:tcPr>
          <w:p w14:paraId="50CD9547" w14:textId="77665B2D" w:rsidR="006C2BB6" w:rsidRPr="00A12A54" w:rsidRDefault="006C2BB6" w:rsidP="006C2BB6">
            <w:pPr>
              <w:spacing w:after="60"/>
              <w:jc w:val="both"/>
              <w:rPr>
                <w:color w:val="FFFFFF" w:themeColor="background1"/>
                <w:lang w:val="nl-NL"/>
              </w:rPr>
            </w:pPr>
            <w:r w:rsidRPr="00A12A54">
              <w:rPr>
                <w:color w:val="FFFFFF" w:themeColor="background1"/>
                <w:lang w:val="nl-NL"/>
              </w:rPr>
              <w:t>KB VAN 14 JANUARI 2013, Art. 38/7 : Prijsherziening (pagina 27)</w:t>
            </w:r>
          </w:p>
        </w:tc>
      </w:tr>
      <w:tr w:rsidR="006C2BB6" w:rsidRPr="007953A5" w14:paraId="0427E389" w14:textId="77777777" w:rsidTr="006C2BB6">
        <w:trPr>
          <w:trHeight w:val="851"/>
        </w:trPr>
        <w:tc>
          <w:tcPr>
            <w:tcW w:w="4291" w:type="dxa"/>
            <w:vAlign w:val="center"/>
          </w:tcPr>
          <w:p w14:paraId="214712D3" w14:textId="1A11DA40" w:rsidR="006C2BB6" w:rsidRPr="00801EBC" w:rsidRDefault="006C2BB6" w:rsidP="006C2BB6">
            <w:pPr>
              <w:jc w:val="both"/>
            </w:pPr>
            <w:r w:rsidRPr="00A12A54">
              <w:rPr>
                <w:rFonts w:eastAsia="Times New Roman" w:cs="Times New Roman"/>
                <w:szCs w:val="24"/>
                <w:lang w:eastAsia="fr-FR"/>
              </w:rPr>
              <w:t>« </w:t>
            </w:r>
            <w:r w:rsidRPr="00801EBC">
              <w:t xml:space="preserve"> Les honoraires donneront lieu à une unique révision de prix calculée selon la formule suivante : </w:t>
            </w:r>
          </w:p>
          <w:p w14:paraId="10C8B3FE" w14:textId="77777777" w:rsidR="006C2BB6" w:rsidRDefault="006C2BB6" w:rsidP="006C2BB6">
            <w:pPr>
              <w:pBdr>
                <w:bottom w:val="single" w:sz="4" w:space="1" w:color="auto"/>
              </w:pBdr>
              <w:spacing w:after="240"/>
              <w:contextualSpacing/>
              <w:jc w:val="center"/>
              <w:rPr>
                <w:rFonts w:eastAsia="Times New Roman" w:cs="Times New Roman"/>
                <w:b/>
                <w:bCs/>
                <w:szCs w:val="24"/>
                <w:lang w:eastAsia="fr-FR"/>
              </w:rPr>
            </w:pPr>
          </w:p>
          <w:p w14:paraId="656B3EB2" w14:textId="39EE94A1" w:rsidR="006C2BB6" w:rsidRPr="000207C8" w:rsidRDefault="006C2BB6" w:rsidP="006C2BB6">
            <w:pPr>
              <w:pBdr>
                <w:bottom w:val="single" w:sz="4" w:space="1" w:color="auto"/>
              </w:pBdr>
              <w:spacing w:after="240"/>
              <w:contextualSpacing/>
              <w:jc w:val="center"/>
              <w:rPr>
                <w:rFonts w:eastAsia="Times New Roman" w:cs="Times New Roman"/>
                <w:b/>
                <w:bCs/>
                <w:szCs w:val="24"/>
                <w:lang w:eastAsia="fr-FR"/>
              </w:rPr>
            </w:pPr>
            <w:r w:rsidRPr="000207C8">
              <w:rPr>
                <w:rFonts w:eastAsia="Times New Roman" w:cs="Times New Roman"/>
                <w:b/>
                <w:bCs/>
                <w:szCs w:val="24"/>
                <w:lang w:eastAsia="fr-FR"/>
              </w:rPr>
              <w:t>Montant des honoraires X indice ABEX moyen mensuel pour la période s’étalant du mois de l'envoi de la lettre de commande à l'auteur de projet au mois de l'octroi de la réception définitive</w:t>
            </w:r>
          </w:p>
          <w:p w14:paraId="5E511A23" w14:textId="77777777" w:rsidR="006C2BB6" w:rsidRPr="00646EF5" w:rsidRDefault="006C2BB6" w:rsidP="006C2BB6">
            <w:pPr>
              <w:spacing w:after="240"/>
              <w:contextualSpacing/>
              <w:jc w:val="center"/>
              <w:rPr>
                <w:rFonts w:eastAsia="Times New Roman" w:cs="Times New Roman"/>
                <w:b/>
                <w:bCs/>
                <w:szCs w:val="24"/>
                <w:lang w:eastAsia="fr-FR"/>
              </w:rPr>
            </w:pPr>
            <w:r w:rsidRPr="000207C8">
              <w:rPr>
                <w:rFonts w:eastAsia="Times New Roman" w:cs="Times New Roman"/>
                <w:b/>
                <w:bCs/>
                <w:szCs w:val="24"/>
                <w:lang w:eastAsia="fr-FR"/>
              </w:rPr>
              <w:t>Indice ABEX du mois de la remise de l’offre</w:t>
            </w:r>
          </w:p>
          <w:p w14:paraId="415914DA" w14:textId="77777777" w:rsidR="006C2BB6" w:rsidRPr="000207C8" w:rsidRDefault="006C2BB6" w:rsidP="006C2BB6">
            <w:pPr>
              <w:spacing w:after="240"/>
              <w:contextualSpacing/>
              <w:jc w:val="center"/>
              <w:rPr>
                <w:rFonts w:ascii="Calibri" w:eastAsia="Times New Roman" w:hAnsi="Calibri" w:cs="Times New Roman"/>
                <w:szCs w:val="24"/>
                <w:lang w:eastAsia="fr-FR"/>
              </w:rPr>
            </w:pPr>
          </w:p>
          <w:p w14:paraId="6864AAFF" w14:textId="66AF9379" w:rsidR="006C2BB6" w:rsidRDefault="006C2BB6" w:rsidP="006C2BB6">
            <w:pPr>
              <w:spacing w:after="200"/>
              <w:jc w:val="both"/>
              <w:rPr>
                <w:rFonts w:eastAsia="Calibri" w:cs="Times New Roman"/>
                <w:lang w:val="fr-BE"/>
              </w:rPr>
            </w:pPr>
            <w:r w:rsidRPr="000207C8">
              <w:rPr>
                <w:rFonts w:eastAsia="Calibri" w:cs="Times New Roman"/>
                <w:lang w:val="fr-BE"/>
              </w:rPr>
              <w:t>Les montants dus en vertu de la révision ne sont exigibles qu'à partir de l'octroi de la réception définitive et suite à l'introduction d'une facture.</w:t>
            </w:r>
            <w:r>
              <w:rPr>
                <w:rFonts w:eastAsia="Calibri" w:cs="Times New Roman"/>
                <w:lang w:val="fr-BE"/>
              </w:rPr>
              <w:t> »</w:t>
            </w:r>
          </w:p>
          <w:p w14:paraId="6A25C71E" w14:textId="77777777" w:rsidR="006C2BB6" w:rsidRPr="00A12A54" w:rsidRDefault="006C2BB6" w:rsidP="006C2BB6">
            <w:pPr>
              <w:spacing w:after="60"/>
              <w:jc w:val="both"/>
              <w:rPr>
                <w:rFonts w:eastAsia="Times New Roman" w:cs="Arial"/>
                <w:b/>
                <w:bCs/>
                <w:lang w:eastAsia="fr-FR"/>
              </w:rPr>
            </w:pPr>
            <w:r w:rsidRPr="00A12A54">
              <w:rPr>
                <w:rFonts w:eastAsia="Times New Roman" w:cs="Arial"/>
                <w:b/>
                <w:bCs/>
                <w:lang w:eastAsia="fr-FR"/>
              </w:rPr>
              <w:t>Est remplacé par :</w:t>
            </w:r>
          </w:p>
          <w:p w14:paraId="7BBF55E4" w14:textId="77777777" w:rsidR="006C2BB6" w:rsidRDefault="006C2BB6" w:rsidP="006C2BB6">
            <w:pPr>
              <w:spacing w:after="200"/>
              <w:jc w:val="both"/>
              <w:rPr>
                <w:rFonts w:eastAsia="Calibri" w:cs="Times New Roman"/>
                <w:lang w:val="fr-BE"/>
              </w:rPr>
            </w:pPr>
          </w:p>
          <w:p w14:paraId="28AFE3ED" w14:textId="1721F6DD" w:rsidR="006C2BB6" w:rsidRPr="00A12A54" w:rsidRDefault="006C2BB6" w:rsidP="006C2BB6">
            <w:pPr>
              <w:widowControl w:val="0"/>
              <w:suppressAutoHyphens/>
              <w:spacing w:after="240"/>
              <w:jc w:val="both"/>
              <w:rPr>
                <w:rFonts w:eastAsia="Calibri" w:cs="Times New Roman"/>
                <w:lang w:val="fr-BE"/>
              </w:rPr>
            </w:pPr>
            <w:r>
              <w:rPr>
                <w:rFonts w:eastAsia="Calibri" w:cs="Times New Roman"/>
                <w:lang w:val="fr-BE"/>
              </w:rPr>
              <w:t>« </w:t>
            </w:r>
            <w:bookmarkStart w:id="1" w:name="_Hlk135983919"/>
            <w:r w:rsidRPr="00A12A54">
              <w:rPr>
                <w:rFonts w:eastAsia="Calibri" w:cs="Times New Roman"/>
                <w:lang w:val="fr-BE"/>
              </w:rPr>
              <w:t xml:space="preserve"> Les honoraires donneront lieu à une révision de prix calculée sur chaque tranche, telle que prévue au cahier spécial des charges, selon la formule suivante :</w:t>
            </w:r>
          </w:p>
          <w:p w14:paraId="7EC7BCA8" w14:textId="77777777" w:rsidR="006C2BB6" w:rsidRPr="00A12A54" w:rsidRDefault="006C2BB6" w:rsidP="006C2BB6">
            <w:pPr>
              <w:widowControl w:val="0"/>
              <w:pBdr>
                <w:bottom w:val="single" w:sz="6" w:space="4" w:color="auto"/>
              </w:pBdr>
              <w:suppressAutoHyphens/>
              <w:ind w:left="709" w:right="567"/>
              <w:jc w:val="center"/>
              <w:rPr>
                <w:rFonts w:eastAsia="Calibri" w:cs="Times New Roman"/>
                <w:b/>
                <w:lang w:val="fr-BE"/>
              </w:rPr>
            </w:pPr>
            <w:r w:rsidRPr="00A12A54">
              <w:rPr>
                <w:rFonts w:eastAsia="Calibri" w:cs="Times New Roman"/>
                <w:b/>
                <w:lang w:val="fr-BE"/>
              </w:rPr>
              <w:t>Montant des honoraires X indice ABEX du mois précédent la date d’introduction de la facture, suivant la tranche d’honoraires exigible</w:t>
            </w:r>
          </w:p>
          <w:p w14:paraId="4F9D76C3" w14:textId="77777777" w:rsidR="006C2BB6" w:rsidRPr="00A12A54" w:rsidRDefault="006C2BB6" w:rsidP="006C2BB6">
            <w:pPr>
              <w:widowControl w:val="0"/>
              <w:suppressAutoHyphens/>
              <w:spacing w:after="240"/>
              <w:ind w:left="708" w:right="565"/>
              <w:jc w:val="center"/>
              <w:rPr>
                <w:rFonts w:eastAsia="Calibri" w:cs="Times New Roman"/>
                <w:b/>
                <w:lang w:val="fr-BE"/>
              </w:rPr>
            </w:pPr>
            <w:r w:rsidRPr="00A12A54">
              <w:rPr>
                <w:rFonts w:eastAsia="Calibri" w:cs="Times New Roman"/>
                <w:b/>
                <w:lang w:val="fr-BE"/>
              </w:rPr>
              <w:t>Indice ABEX du mois de la remise de l’offre</w:t>
            </w:r>
          </w:p>
          <w:p w14:paraId="66E1E8E2" w14:textId="3A605DAD" w:rsidR="006C2BB6" w:rsidRPr="00A12A54" w:rsidRDefault="006C2BB6" w:rsidP="006C2BB6">
            <w:pPr>
              <w:spacing w:after="200"/>
              <w:jc w:val="both"/>
              <w:rPr>
                <w:rFonts w:eastAsia="Calibri" w:cs="Times New Roman"/>
                <w:lang w:val="fr-BE"/>
              </w:rPr>
            </w:pPr>
            <w:r w:rsidRPr="00A12A54">
              <w:rPr>
                <w:rFonts w:eastAsia="Calibri" w:cs="Times New Roman"/>
                <w:lang w:val="fr-BE"/>
              </w:rPr>
              <w:t>Les montants dus en vertu de la révision sont exigibles en même temps que la tranche d’honoraires concernée.</w:t>
            </w:r>
            <w:r>
              <w:rPr>
                <w:rFonts w:eastAsia="Calibri" w:cs="Times New Roman"/>
                <w:lang w:val="fr-BE"/>
              </w:rPr>
              <w:t> »</w:t>
            </w:r>
          </w:p>
          <w:bookmarkEnd w:id="1"/>
          <w:p w14:paraId="40603E20" w14:textId="03B02256" w:rsidR="006C2BB6" w:rsidRDefault="006C2BB6" w:rsidP="006C2BB6">
            <w:pPr>
              <w:spacing w:after="200"/>
              <w:jc w:val="both"/>
              <w:rPr>
                <w:rFonts w:eastAsia="Calibri" w:cs="Times New Roman"/>
                <w:lang w:val="fr-BE"/>
              </w:rPr>
            </w:pPr>
          </w:p>
          <w:p w14:paraId="4E5185E6" w14:textId="77777777" w:rsidR="006C2BB6" w:rsidRPr="000207C8" w:rsidRDefault="006C2BB6" w:rsidP="006C2BB6">
            <w:pPr>
              <w:spacing w:after="200"/>
              <w:jc w:val="both"/>
              <w:rPr>
                <w:rFonts w:eastAsia="Calibri" w:cs="Times New Roman"/>
                <w:lang w:val="fr-BE"/>
              </w:rPr>
            </w:pPr>
          </w:p>
          <w:p w14:paraId="02C9CCAA" w14:textId="77777777" w:rsidR="006C2BB6" w:rsidRPr="000207C8" w:rsidRDefault="006C2BB6" w:rsidP="006C2BB6">
            <w:pPr>
              <w:spacing w:after="60"/>
              <w:jc w:val="both"/>
              <w:rPr>
                <w:rFonts w:eastAsia="Times New Roman" w:cs="Arial"/>
                <w:lang w:val="fr-BE" w:eastAsia="fr-FR"/>
              </w:rPr>
            </w:pPr>
          </w:p>
        </w:tc>
        <w:tc>
          <w:tcPr>
            <w:tcW w:w="4771" w:type="dxa"/>
            <w:gridSpan w:val="2"/>
            <w:vAlign w:val="center"/>
          </w:tcPr>
          <w:p w14:paraId="4E73627E" w14:textId="11D74730" w:rsidR="006C2BB6" w:rsidRDefault="006C2BB6" w:rsidP="006C2BB6">
            <w:pPr>
              <w:jc w:val="both"/>
              <w:rPr>
                <w:rFonts w:eastAsia="Calibri" w:cs="Times New Roman"/>
                <w:lang w:val="nl-NL"/>
              </w:rPr>
            </w:pPr>
            <w:r w:rsidRPr="00A12A54">
              <w:rPr>
                <w:lang w:val="nl-NL"/>
              </w:rPr>
              <w:t>« </w:t>
            </w:r>
            <w:bookmarkStart w:id="2" w:name="_Hlk532286142"/>
            <w:r w:rsidRPr="00A12A54">
              <w:rPr>
                <w:rFonts w:eastAsia="Calibri" w:cs="Times New Roman"/>
                <w:lang w:val="nl-NL"/>
              </w:rPr>
              <w:t xml:space="preserve"> De honoraria zullen het voorwerp uitmaken van een eenmalige prijsherziening die volgens onderstaande formule wordt berekend: </w:t>
            </w:r>
          </w:p>
          <w:p w14:paraId="39B2FDB4" w14:textId="77777777" w:rsidR="006C2BB6" w:rsidRPr="00A12A54" w:rsidRDefault="006C2BB6" w:rsidP="006C2BB6">
            <w:pPr>
              <w:jc w:val="both"/>
              <w:rPr>
                <w:rFonts w:eastAsia="Calibri" w:cs="Times New Roman"/>
                <w:lang w:val="nl-NL"/>
              </w:rPr>
            </w:pPr>
          </w:p>
          <w:p w14:paraId="3B9662E0" w14:textId="77777777" w:rsidR="006C2BB6" w:rsidRPr="00A12A54" w:rsidRDefault="006C2BB6" w:rsidP="006C2BB6">
            <w:pPr>
              <w:pBdr>
                <w:bottom w:val="single" w:sz="4" w:space="1" w:color="auto"/>
              </w:pBdr>
              <w:spacing w:after="240"/>
              <w:contextualSpacing/>
              <w:jc w:val="center"/>
              <w:rPr>
                <w:rFonts w:eastAsia="Times New Roman" w:cs="Times New Roman"/>
                <w:b/>
                <w:bCs/>
                <w:szCs w:val="24"/>
                <w:lang w:val="nl-NL" w:eastAsia="fr-FR"/>
              </w:rPr>
            </w:pPr>
            <w:r w:rsidRPr="00A12A54">
              <w:rPr>
                <w:rFonts w:eastAsia="Times New Roman" w:cs="Times New Roman"/>
                <w:szCs w:val="24"/>
                <w:lang w:val="nl-NL" w:eastAsia="fr-FR"/>
              </w:rPr>
              <w:t> </w:t>
            </w:r>
            <w:r w:rsidRPr="00A12A54">
              <w:rPr>
                <w:rFonts w:eastAsia="Times New Roman" w:cs="Times New Roman"/>
                <w:b/>
                <w:bCs/>
                <w:szCs w:val="24"/>
                <w:lang w:val="nl-NL" w:eastAsia="fr-FR"/>
              </w:rPr>
              <w:t> Bedrag van de honoraria X maandelijkse gemiddelde ABEX-index voor de periode die strekt van de maand waarin de bestelbrief aan de ontwerper wordt toegestuurd tot de maand waarin de definitieve oplevering wordt toegekend</w:t>
            </w:r>
          </w:p>
          <w:p w14:paraId="135C02D2" w14:textId="77777777" w:rsidR="006C2BB6" w:rsidRPr="00646EF5" w:rsidRDefault="006C2BB6" w:rsidP="006C2BB6">
            <w:pPr>
              <w:spacing w:after="240"/>
              <w:contextualSpacing/>
              <w:jc w:val="center"/>
              <w:rPr>
                <w:rFonts w:eastAsia="Times New Roman" w:cs="Times New Roman"/>
                <w:b/>
                <w:bCs/>
                <w:szCs w:val="24"/>
                <w:lang w:val="nl-NL" w:eastAsia="fr-FR"/>
              </w:rPr>
            </w:pPr>
            <w:r w:rsidRPr="00A12A54">
              <w:rPr>
                <w:rFonts w:eastAsia="Times New Roman" w:cs="Times New Roman"/>
                <w:b/>
                <w:bCs/>
                <w:szCs w:val="24"/>
                <w:lang w:val="nl-NL" w:eastAsia="fr-FR"/>
              </w:rPr>
              <w:t>ABEX-index die geldt in de maand waarin de offerte wordt ingediend</w:t>
            </w:r>
          </w:p>
          <w:p w14:paraId="15CF7C05" w14:textId="77777777" w:rsidR="006C2BB6" w:rsidRPr="00A12A54" w:rsidRDefault="006C2BB6" w:rsidP="006C2BB6">
            <w:pPr>
              <w:spacing w:after="240"/>
              <w:contextualSpacing/>
              <w:jc w:val="center"/>
              <w:rPr>
                <w:rFonts w:eastAsia="Times New Roman" w:cs="Times New Roman"/>
                <w:szCs w:val="24"/>
                <w:lang w:val="nl-NL" w:eastAsia="fr-FR"/>
              </w:rPr>
            </w:pPr>
          </w:p>
          <w:p w14:paraId="4BE4E4CA" w14:textId="2CD2BA7C" w:rsidR="006C2BB6" w:rsidRPr="00A12A54" w:rsidRDefault="006C2BB6" w:rsidP="006C2BB6">
            <w:pPr>
              <w:spacing w:after="200"/>
              <w:jc w:val="both"/>
              <w:rPr>
                <w:rFonts w:eastAsia="Calibri" w:cs="Times New Roman"/>
                <w:lang w:val="nl-NL"/>
              </w:rPr>
            </w:pPr>
            <w:r w:rsidRPr="00A12A54">
              <w:rPr>
                <w:rFonts w:eastAsia="Calibri" w:cs="Times New Roman"/>
                <w:lang w:val="nl-NL"/>
              </w:rPr>
              <w:t>De krachtens de herziening verschuldigde bedragen zijn pas opeisbaar na de toekenning van de definitieve oplevering en na de indiening van een factuur.</w:t>
            </w:r>
            <w:r>
              <w:rPr>
                <w:rFonts w:eastAsia="Calibri" w:cs="Times New Roman"/>
                <w:lang w:val="nl-NL"/>
              </w:rPr>
              <w:t>”</w:t>
            </w:r>
          </w:p>
          <w:bookmarkEnd w:id="2"/>
          <w:p w14:paraId="404D743F" w14:textId="77777777" w:rsidR="006C2BB6" w:rsidRPr="00A12A54" w:rsidRDefault="006C2BB6" w:rsidP="006C2BB6">
            <w:pPr>
              <w:spacing w:after="60"/>
              <w:jc w:val="both"/>
              <w:rPr>
                <w:b/>
                <w:bCs/>
                <w:lang w:val="nl-NL"/>
              </w:rPr>
            </w:pPr>
            <w:r w:rsidRPr="00A12A54">
              <w:rPr>
                <w:b/>
                <w:bCs/>
                <w:lang w:val="nl-NL"/>
              </w:rPr>
              <w:t xml:space="preserve">Vervangen door : </w:t>
            </w:r>
          </w:p>
          <w:p w14:paraId="3C4CECF0" w14:textId="77777777" w:rsidR="006C2BB6" w:rsidRDefault="006C2BB6" w:rsidP="006C2BB6">
            <w:pPr>
              <w:spacing w:after="60"/>
              <w:jc w:val="both"/>
              <w:rPr>
                <w:lang w:val="nl-NL"/>
              </w:rPr>
            </w:pPr>
          </w:p>
          <w:p w14:paraId="746263CD" w14:textId="66759A71" w:rsidR="006C2BB6" w:rsidRPr="00646EF5" w:rsidRDefault="006C2BB6" w:rsidP="006C2BB6">
            <w:pPr>
              <w:widowControl w:val="0"/>
              <w:suppressAutoHyphens/>
              <w:spacing w:after="240"/>
              <w:jc w:val="both"/>
              <w:rPr>
                <w:rFonts w:eastAsia="Calibri" w:cs="Times New Roman"/>
                <w:lang w:val="nl-NL"/>
              </w:rPr>
            </w:pPr>
            <w:r>
              <w:rPr>
                <w:lang w:val="nl-NL"/>
              </w:rPr>
              <w:t>“</w:t>
            </w:r>
            <w:r w:rsidRPr="00646EF5">
              <w:rPr>
                <w:rFonts w:eastAsia="Calibri" w:cs="Times New Roman"/>
                <w:lang w:val="nl-NL"/>
              </w:rPr>
              <w:t xml:space="preserve"> De honoraria zullen het voorwerp uitmaken van een prijsherziening berekend op elke schijf zoals bepaald in het bijzonder bestek die volgens onderstaande formule wordt berekend:</w:t>
            </w:r>
          </w:p>
          <w:p w14:paraId="7D9BA029" w14:textId="77777777" w:rsidR="006C2BB6" w:rsidRPr="00646EF5" w:rsidRDefault="006C2BB6" w:rsidP="006C2BB6">
            <w:pPr>
              <w:widowControl w:val="0"/>
              <w:pBdr>
                <w:bottom w:val="single" w:sz="6" w:space="4" w:color="auto"/>
              </w:pBdr>
              <w:suppressAutoHyphens/>
              <w:ind w:left="709" w:right="567"/>
              <w:jc w:val="center"/>
              <w:rPr>
                <w:rFonts w:eastAsia="Calibri" w:cs="Times New Roman"/>
                <w:b/>
                <w:lang w:val="nl-NL"/>
              </w:rPr>
            </w:pPr>
            <w:r w:rsidRPr="00646EF5">
              <w:rPr>
                <w:rFonts w:eastAsia="Calibri" w:cs="Times New Roman"/>
                <w:b/>
                <w:lang w:val="nl-NL"/>
              </w:rPr>
              <w:t>Bedrag van de honoraria X ABEX-index van de maand die voorafgaat aan de indiening van de factuur, volgens de opeisbare ereloonschijf</w:t>
            </w:r>
          </w:p>
          <w:p w14:paraId="565C4C4A" w14:textId="77777777" w:rsidR="006C2BB6" w:rsidRPr="00646EF5" w:rsidRDefault="006C2BB6" w:rsidP="006C2BB6">
            <w:pPr>
              <w:widowControl w:val="0"/>
              <w:suppressAutoHyphens/>
              <w:spacing w:after="240"/>
              <w:ind w:left="708" w:right="565"/>
              <w:jc w:val="center"/>
              <w:rPr>
                <w:rFonts w:eastAsia="Calibri" w:cs="Times New Roman"/>
                <w:b/>
                <w:lang w:val="nl-NL"/>
              </w:rPr>
            </w:pPr>
            <w:r w:rsidRPr="00646EF5">
              <w:rPr>
                <w:rFonts w:eastAsia="Calibri" w:cs="Times New Roman"/>
                <w:b/>
                <w:lang w:val="nl-NL"/>
              </w:rPr>
              <w:t>ABEX-index die geldt in de maand waarin de offerte wordt ingediend</w:t>
            </w:r>
          </w:p>
          <w:p w14:paraId="2DE7956A" w14:textId="788A0E44" w:rsidR="006C2BB6" w:rsidRPr="00646EF5" w:rsidRDefault="006C2BB6" w:rsidP="006C2BB6">
            <w:pPr>
              <w:spacing w:after="200"/>
              <w:jc w:val="both"/>
              <w:rPr>
                <w:rFonts w:eastAsia="Calibri" w:cs="Times New Roman"/>
                <w:lang w:val="nl-NL"/>
              </w:rPr>
            </w:pPr>
            <w:r w:rsidRPr="00646EF5">
              <w:rPr>
                <w:rFonts w:eastAsia="Calibri" w:cs="Times New Roman"/>
                <w:lang w:val="nl-NL"/>
              </w:rPr>
              <w:t>De krachtens de herziening verschuldigde bedragen zijn opeisbaar op hetzelfde moment als de betreffende ereloonschijf.</w:t>
            </w:r>
            <w:r>
              <w:rPr>
                <w:rFonts w:eastAsia="Calibri" w:cs="Times New Roman"/>
                <w:lang w:val="nl-NL"/>
              </w:rPr>
              <w:t>”</w:t>
            </w:r>
          </w:p>
          <w:p w14:paraId="12BD530D" w14:textId="285BD7E1" w:rsidR="006C2BB6" w:rsidRPr="00A12A54" w:rsidRDefault="006C2BB6" w:rsidP="006C2BB6">
            <w:pPr>
              <w:spacing w:after="60"/>
              <w:jc w:val="both"/>
              <w:rPr>
                <w:lang w:val="nl-NL"/>
              </w:rPr>
            </w:pPr>
          </w:p>
        </w:tc>
      </w:tr>
      <w:tr w:rsidR="006C2BB6" w:rsidRPr="00514C97" w14:paraId="3EAF5C53" w14:textId="77777777" w:rsidTr="006C2BB6">
        <w:trPr>
          <w:trHeight w:val="851"/>
        </w:trPr>
        <w:tc>
          <w:tcPr>
            <w:tcW w:w="4291" w:type="dxa"/>
            <w:shd w:val="clear" w:color="auto" w:fill="00A4B7"/>
            <w:vAlign w:val="center"/>
          </w:tcPr>
          <w:p w14:paraId="6BBB7B48" w14:textId="55D3434D" w:rsidR="006C2BB6" w:rsidRPr="00646EF5" w:rsidRDefault="006C2BB6" w:rsidP="006C2BB6">
            <w:pPr>
              <w:jc w:val="both"/>
              <w:rPr>
                <w:rFonts w:eastAsia="Times New Roman" w:cs="Times New Roman"/>
                <w:color w:val="FFFFFF" w:themeColor="background1"/>
                <w:szCs w:val="24"/>
                <w:lang w:eastAsia="fr-FR"/>
              </w:rPr>
            </w:pPr>
            <w:r w:rsidRPr="00646EF5">
              <w:rPr>
                <w:rFonts w:eastAsia="Times New Roman" w:cs="Arial"/>
                <w:color w:val="FFFFFF" w:themeColor="background1"/>
                <w:lang w:eastAsia="fr-FR"/>
              </w:rPr>
              <w:t>AR DU 14 JANVIER 2013,</w:t>
            </w:r>
            <w:r>
              <w:rPr>
                <w:rFonts w:eastAsia="Times New Roman" w:cs="Arial"/>
                <w:color w:val="FFFFFF" w:themeColor="background1"/>
                <w:lang w:eastAsia="fr-FR"/>
              </w:rPr>
              <w:t xml:space="preserve"> </w:t>
            </w:r>
            <w:r w:rsidRPr="00646EF5">
              <w:rPr>
                <w:rFonts w:eastAsia="Times New Roman" w:cs="Times New Roman"/>
                <w:color w:val="FFFFFF" w:themeColor="background1"/>
                <w:szCs w:val="24"/>
                <w:lang w:eastAsia="fr-FR"/>
              </w:rPr>
              <w:t>Art. 66 : Conditions générales de paiement</w:t>
            </w:r>
            <w:r>
              <w:rPr>
                <w:rFonts w:eastAsia="Times New Roman" w:cs="Times New Roman"/>
                <w:color w:val="FFFFFF" w:themeColor="background1"/>
                <w:szCs w:val="24"/>
                <w:lang w:eastAsia="fr-FR"/>
              </w:rPr>
              <w:t xml:space="preserve">, </w:t>
            </w:r>
            <w:r>
              <w:t xml:space="preserve"> </w:t>
            </w:r>
            <w:r w:rsidRPr="00646EF5">
              <w:rPr>
                <w:rFonts w:eastAsia="Times New Roman" w:cs="Times New Roman"/>
                <w:color w:val="FFFFFF" w:themeColor="background1"/>
                <w:szCs w:val="24"/>
                <w:lang w:eastAsia="fr-FR"/>
              </w:rPr>
              <w:t>1.</w:t>
            </w:r>
            <w:r>
              <w:rPr>
                <w:rFonts w:eastAsia="Times New Roman" w:cs="Times New Roman"/>
                <w:color w:val="FFFFFF" w:themeColor="background1"/>
                <w:szCs w:val="24"/>
                <w:lang w:eastAsia="fr-FR"/>
              </w:rPr>
              <w:t xml:space="preserve"> </w:t>
            </w:r>
            <w:r w:rsidRPr="00646EF5">
              <w:rPr>
                <w:rFonts w:eastAsia="Times New Roman" w:cs="Times New Roman"/>
                <w:color w:val="FFFFFF" w:themeColor="background1"/>
                <w:szCs w:val="24"/>
                <w:lang w:eastAsia="fr-FR"/>
              </w:rPr>
              <w:t>Honoraires de base</w:t>
            </w:r>
            <w:r>
              <w:rPr>
                <w:rFonts w:eastAsia="Times New Roman" w:cs="Times New Roman"/>
                <w:color w:val="FFFFFF" w:themeColor="background1"/>
                <w:szCs w:val="24"/>
                <w:lang w:eastAsia="fr-FR"/>
              </w:rPr>
              <w:t xml:space="preserve">, </w:t>
            </w:r>
            <w:r w:rsidRPr="00646EF5">
              <w:rPr>
                <w:rFonts w:eastAsia="Times New Roman" w:cs="Times New Roman"/>
                <w:color w:val="FFFFFF" w:themeColor="background1"/>
                <w:szCs w:val="24"/>
                <w:lang w:eastAsia="fr-FR"/>
              </w:rPr>
              <w:t>1.3. Exigibilité</w:t>
            </w:r>
            <w:r>
              <w:rPr>
                <w:rFonts w:eastAsia="Times New Roman" w:cs="Times New Roman"/>
                <w:color w:val="FFFFFF" w:themeColor="background1"/>
                <w:szCs w:val="24"/>
                <w:lang w:eastAsia="fr-FR"/>
              </w:rPr>
              <w:t xml:space="preserve"> (page 30)</w:t>
            </w:r>
          </w:p>
        </w:tc>
        <w:tc>
          <w:tcPr>
            <w:tcW w:w="4771" w:type="dxa"/>
            <w:gridSpan w:val="2"/>
            <w:shd w:val="clear" w:color="auto" w:fill="00A4B7"/>
            <w:vAlign w:val="center"/>
          </w:tcPr>
          <w:p w14:paraId="2DCEBE54" w14:textId="77777777" w:rsidR="006C2BB6" w:rsidRPr="00514C97" w:rsidRDefault="006C2BB6" w:rsidP="006C2BB6">
            <w:pPr>
              <w:jc w:val="both"/>
              <w:rPr>
                <w:color w:val="FFFFFF" w:themeColor="background1"/>
                <w:lang w:val="nl-NL"/>
              </w:rPr>
            </w:pPr>
            <w:r w:rsidRPr="00646EF5">
              <w:rPr>
                <w:color w:val="FFFFFF" w:themeColor="background1"/>
                <w:lang w:val="nl-NL"/>
              </w:rPr>
              <w:t>KB VAN 14 JANUARI 2013,</w:t>
            </w:r>
            <w:r>
              <w:rPr>
                <w:color w:val="FFFFFF" w:themeColor="background1"/>
                <w:lang w:val="nl-NL"/>
              </w:rPr>
              <w:t xml:space="preserve"> </w:t>
            </w:r>
            <w:r w:rsidRPr="00514C97">
              <w:rPr>
                <w:lang w:val="nl-NL"/>
              </w:rPr>
              <w:t xml:space="preserve"> </w:t>
            </w:r>
            <w:r w:rsidRPr="00514C97">
              <w:rPr>
                <w:color w:val="FFFFFF" w:themeColor="background1"/>
                <w:lang w:val="nl-NL"/>
              </w:rPr>
              <w:t>Art. 66 : Algemene betalingsvoorwaarden</w:t>
            </w:r>
            <w:r>
              <w:rPr>
                <w:color w:val="FFFFFF" w:themeColor="background1"/>
                <w:lang w:val="nl-NL"/>
              </w:rPr>
              <w:t xml:space="preserve">, </w:t>
            </w:r>
          </w:p>
          <w:p w14:paraId="12757252" w14:textId="40341855" w:rsidR="006C2BB6" w:rsidRPr="00514C97" w:rsidRDefault="006C2BB6" w:rsidP="006C2BB6">
            <w:pPr>
              <w:jc w:val="both"/>
              <w:rPr>
                <w:color w:val="FFFFFF" w:themeColor="background1"/>
                <w:lang w:val="nl-NL"/>
              </w:rPr>
            </w:pPr>
            <w:r w:rsidRPr="00514C97">
              <w:rPr>
                <w:color w:val="FFFFFF" w:themeColor="background1"/>
                <w:lang w:val="nl-NL"/>
              </w:rPr>
              <w:t>1.</w:t>
            </w:r>
            <w:r>
              <w:rPr>
                <w:color w:val="FFFFFF" w:themeColor="background1"/>
                <w:lang w:val="nl-NL"/>
              </w:rPr>
              <w:t xml:space="preserve"> </w:t>
            </w:r>
            <w:r w:rsidRPr="00514C97">
              <w:rPr>
                <w:color w:val="FFFFFF" w:themeColor="background1"/>
                <w:lang w:val="nl-NL"/>
              </w:rPr>
              <w:t>Basishonoraria</w:t>
            </w:r>
            <w:r>
              <w:rPr>
                <w:color w:val="FFFFFF" w:themeColor="background1"/>
                <w:lang w:val="nl-NL"/>
              </w:rPr>
              <w:t xml:space="preserve">, </w:t>
            </w:r>
            <w:r w:rsidRPr="00514C97">
              <w:rPr>
                <w:color w:val="FFFFFF" w:themeColor="background1"/>
                <w:lang w:val="nl-NL"/>
              </w:rPr>
              <w:t>1.3. Eisbaarheid</w:t>
            </w:r>
            <w:r>
              <w:rPr>
                <w:color w:val="FFFFFF" w:themeColor="background1"/>
                <w:lang w:val="nl-NL"/>
              </w:rPr>
              <w:t xml:space="preserve"> (pagina 33)</w:t>
            </w:r>
          </w:p>
        </w:tc>
      </w:tr>
      <w:tr w:rsidR="006C2BB6" w:rsidRPr="007953A5" w14:paraId="1E92600E" w14:textId="77777777" w:rsidTr="006C2BB6">
        <w:trPr>
          <w:trHeight w:val="851"/>
        </w:trPr>
        <w:tc>
          <w:tcPr>
            <w:tcW w:w="4291" w:type="dxa"/>
            <w:shd w:val="clear" w:color="auto" w:fill="auto"/>
            <w:vAlign w:val="center"/>
          </w:tcPr>
          <w:p w14:paraId="28C7533B" w14:textId="77777777" w:rsidR="006C2BB6" w:rsidRDefault="006C2BB6" w:rsidP="006C2BB6">
            <w:pPr>
              <w:jc w:val="both"/>
              <w:rPr>
                <w:szCs w:val="24"/>
              </w:rPr>
            </w:pPr>
            <w:r>
              <w:rPr>
                <w:szCs w:val="24"/>
              </w:rPr>
              <w:t>« </w:t>
            </w:r>
            <w:r w:rsidRPr="004B1C0F">
              <w:rPr>
                <w:szCs w:val="24"/>
              </w:rPr>
              <w:t xml:space="preserve">Au fur et à mesure de l’avancement des travaux, par versements réguliers à dater de l’ouverture du chantier, en </w:t>
            </w:r>
            <w:r w:rsidRPr="004B1C0F">
              <w:rPr>
                <w:color w:val="323E4F" w:themeColor="text2" w:themeShade="BF"/>
                <w:szCs w:val="24"/>
              </w:rPr>
              <w:t>[t</w:t>
            </w:r>
            <w:r w:rsidRPr="004B1C0F">
              <w:rPr>
                <w:szCs w:val="24"/>
              </w:rPr>
              <w:t>rois</w:t>
            </w:r>
            <w:r w:rsidRPr="004B1C0F">
              <w:rPr>
                <w:color w:val="323E4F" w:themeColor="text2" w:themeShade="BF"/>
                <w:szCs w:val="24"/>
              </w:rPr>
              <w:t>]</w:t>
            </w:r>
            <w:r w:rsidRPr="004B1C0F">
              <w:rPr>
                <w:szCs w:val="24"/>
              </w:rPr>
              <w:t xml:space="preserve"> tranches égales de [10 %], respectivement lorsque les travaux atteignent [¼, ½ et ¾] de leur exécution en matière de montant.</w:t>
            </w:r>
            <w:r>
              <w:rPr>
                <w:szCs w:val="24"/>
              </w:rPr>
              <w:t> »</w:t>
            </w:r>
          </w:p>
          <w:p w14:paraId="404B720A" w14:textId="77777777" w:rsidR="006C2BB6" w:rsidRDefault="006C2BB6" w:rsidP="006C2BB6">
            <w:pPr>
              <w:jc w:val="both"/>
              <w:rPr>
                <w:rFonts w:eastAsia="Times New Roman" w:cs="Arial"/>
                <w:lang w:eastAsia="fr-FR"/>
              </w:rPr>
            </w:pPr>
          </w:p>
          <w:p w14:paraId="497433A3" w14:textId="77777777" w:rsidR="006C2BB6" w:rsidRPr="00A12A54" w:rsidRDefault="006C2BB6" w:rsidP="006C2BB6">
            <w:pPr>
              <w:spacing w:after="60"/>
              <w:jc w:val="both"/>
              <w:rPr>
                <w:rFonts w:eastAsia="Times New Roman" w:cs="Arial"/>
                <w:b/>
                <w:bCs/>
                <w:lang w:eastAsia="fr-FR"/>
              </w:rPr>
            </w:pPr>
            <w:r w:rsidRPr="00A12A54">
              <w:rPr>
                <w:rFonts w:eastAsia="Times New Roman" w:cs="Arial"/>
                <w:b/>
                <w:bCs/>
                <w:lang w:eastAsia="fr-FR"/>
              </w:rPr>
              <w:t>Est remplacé par :</w:t>
            </w:r>
          </w:p>
          <w:p w14:paraId="2D5C0FDA" w14:textId="77777777" w:rsidR="006C2BB6" w:rsidRDefault="006C2BB6" w:rsidP="006C2BB6">
            <w:pPr>
              <w:jc w:val="both"/>
              <w:rPr>
                <w:rFonts w:eastAsia="Times New Roman" w:cs="Arial"/>
                <w:lang w:eastAsia="fr-FR"/>
              </w:rPr>
            </w:pPr>
          </w:p>
          <w:p w14:paraId="4B68C042" w14:textId="1DDD2DA4" w:rsidR="006C2BB6" w:rsidRPr="00E832FC" w:rsidRDefault="006C2BB6" w:rsidP="006C2BB6">
            <w:pPr>
              <w:jc w:val="both"/>
              <w:rPr>
                <w:rFonts w:eastAsia="Times New Roman" w:cs="Arial"/>
                <w:lang w:eastAsia="fr-FR"/>
              </w:rPr>
            </w:pPr>
            <w:r>
              <w:rPr>
                <w:rFonts w:eastAsia="Times New Roman" w:cs="Arial"/>
                <w:lang w:eastAsia="fr-FR"/>
              </w:rPr>
              <w:t>« </w:t>
            </w:r>
            <w:r w:rsidRPr="004B1C0F">
              <w:t xml:space="preserve"> Au fur et à mesure de l’avancement des travaux, par versements réguliers à dater de l’ouverture du chantier, en six tranches égales de 5 %, respectivement lorsque les travaux atteignent 1/8, 1/4, 3/8, 1/2, 5/8 et 3/4 du montant de leur exécution.</w:t>
            </w:r>
            <w:r>
              <w:t> »</w:t>
            </w:r>
          </w:p>
        </w:tc>
        <w:tc>
          <w:tcPr>
            <w:tcW w:w="4771" w:type="dxa"/>
            <w:gridSpan w:val="2"/>
            <w:shd w:val="clear" w:color="auto" w:fill="auto"/>
            <w:vAlign w:val="center"/>
          </w:tcPr>
          <w:p w14:paraId="46C773EC" w14:textId="77777777" w:rsidR="006C2BB6" w:rsidRDefault="006C2BB6" w:rsidP="006C2BB6">
            <w:pPr>
              <w:jc w:val="both"/>
              <w:rPr>
                <w:lang w:val="nl-NL"/>
              </w:rPr>
            </w:pPr>
            <w:r>
              <w:rPr>
                <w:lang w:val="nl-NL"/>
              </w:rPr>
              <w:t>“</w:t>
            </w:r>
            <w:r w:rsidRPr="00514C97">
              <w:rPr>
                <w:lang w:val="nl-NL"/>
              </w:rPr>
              <w:t>Naarmate de werken vorderen, aan de hand van regelmatige stortingen vanaf de opening van de bouwplaats in drie gelijke schijven van 10%, respectievelijk als de werken, qua bedrag, ¼, ½ en ¾ van de uitvoering ervan bereiken.</w:t>
            </w:r>
            <w:r>
              <w:rPr>
                <w:lang w:val="nl-NL"/>
              </w:rPr>
              <w:t>”</w:t>
            </w:r>
          </w:p>
          <w:p w14:paraId="452B69BC" w14:textId="77777777" w:rsidR="006C2BB6" w:rsidRDefault="006C2BB6" w:rsidP="006C2BB6">
            <w:pPr>
              <w:jc w:val="both"/>
              <w:rPr>
                <w:lang w:val="nl-NL"/>
              </w:rPr>
            </w:pPr>
          </w:p>
          <w:p w14:paraId="2D843554" w14:textId="77777777" w:rsidR="006C2BB6" w:rsidRPr="00A12A54" w:rsidRDefault="006C2BB6" w:rsidP="006C2BB6">
            <w:pPr>
              <w:spacing w:after="60"/>
              <w:jc w:val="both"/>
              <w:rPr>
                <w:b/>
                <w:bCs/>
                <w:lang w:val="nl-NL"/>
              </w:rPr>
            </w:pPr>
            <w:r w:rsidRPr="00A12A54">
              <w:rPr>
                <w:b/>
                <w:bCs/>
                <w:lang w:val="nl-NL"/>
              </w:rPr>
              <w:t xml:space="preserve">Vervangen door : </w:t>
            </w:r>
          </w:p>
          <w:p w14:paraId="39E90575" w14:textId="77777777" w:rsidR="006C2BB6" w:rsidRDefault="006C2BB6" w:rsidP="006C2BB6">
            <w:pPr>
              <w:jc w:val="both"/>
              <w:rPr>
                <w:lang w:val="nl-NL"/>
              </w:rPr>
            </w:pPr>
          </w:p>
          <w:p w14:paraId="0CA48516" w14:textId="218A6C9A" w:rsidR="006C2BB6" w:rsidRPr="00514C97" w:rsidRDefault="006C2BB6" w:rsidP="006C2BB6">
            <w:pPr>
              <w:jc w:val="both"/>
              <w:rPr>
                <w:lang w:val="nl-NL"/>
              </w:rPr>
            </w:pPr>
            <w:r>
              <w:rPr>
                <w:lang w:val="nl-NL"/>
              </w:rPr>
              <w:t>“</w:t>
            </w:r>
            <w:r w:rsidRPr="009E2CA6">
              <w:rPr>
                <w:lang w:val="nl-NL"/>
              </w:rPr>
              <w:t xml:space="preserve"> Naarmate de werken vorderen, aan de hand van regelmatige stortingen vanaf de opening van de bouwplaats in drie gelijke schijven van </w:t>
            </w:r>
            <w:r>
              <w:rPr>
                <w:lang w:val="nl-NL"/>
              </w:rPr>
              <w:t>5</w:t>
            </w:r>
            <w:r w:rsidRPr="009E2CA6">
              <w:rPr>
                <w:lang w:val="nl-NL"/>
              </w:rPr>
              <w:t xml:space="preserve">%, respectievelijk als de werken, qua bedrag, </w:t>
            </w:r>
            <w:r w:rsidRPr="002C49AA">
              <w:rPr>
                <w:lang w:val="nl-NL"/>
              </w:rPr>
              <w:t>1/8, 1/4, 3/8, 1/2, 5/8 e</w:t>
            </w:r>
            <w:r>
              <w:rPr>
                <w:lang w:val="nl-NL"/>
              </w:rPr>
              <w:t>n</w:t>
            </w:r>
            <w:r w:rsidRPr="002C49AA">
              <w:rPr>
                <w:lang w:val="nl-NL"/>
              </w:rPr>
              <w:t xml:space="preserve"> 3/4 </w:t>
            </w:r>
            <w:r w:rsidRPr="009E2CA6">
              <w:rPr>
                <w:lang w:val="nl-NL"/>
              </w:rPr>
              <w:t>van de uitvoering ervan bereiken.</w:t>
            </w:r>
            <w:r>
              <w:rPr>
                <w:lang w:val="nl-NL"/>
              </w:rPr>
              <w:t>”</w:t>
            </w:r>
          </w:p>
        </w:tc>
      </w:tr>
      <w:tr w:rsidR="006C2BB6" w:rsidRPr="00514C97" w14:paraId="11C69681" w14:textId="77777777" w:rsidTr="006C2BB6">
        <w:trPr>
          <w:trHeight w:val="851"/>
        </w:trPr>
        <w:tc>
          <w:tcPr>
            <w:tcW w:w="4291" w:type="dxa"/>
            <w:shd w:val="clear" w:color="auto" w:fill="auto"/>
            <w:vAlign w:val="center"/>
          </w:tcPr>
          <w:p w14:paraId="3C3B4E0F" w14:textId="71E59A67" w:rsidR="006C2BB6" w:rsidRPr="00514C97" w:rsidRDefault="006C2BB6" w:rsidP="006C2BB6">
            <w:pPr>
              <w:pStyle w:val="Paragraphedeliste"/>
              <w:numPr>
                <w:ilvl w:val="0"/>
                <w:numId w:val="1"/>
              </w:numPr>
              <w:contextualSpacing w:val="0"/>
              <w:rPr>
                <w:rFonts w:eastAsia="Times New Roman" w:cs="Arial"/>
                <w:b/>
                <w:i/>
                <w:szCs w:val="20"/>
                <w:lang w:eastAsia="fr-FR"/>
              </w:rPr>
            </w:pPr>
            <w:r>
              <w:rPr>
                <w:szCs w:val="24"/>
              </w:rPr>
              <w:t>« </w:t>
            </w:r>
            <w:r w:rsidRPr="00514C97">
              <w:rPr>
                <w:rFonts w:eastAsia="Times New Roman" w:cs="Arial"/>
                <w:szCs w:val="20"/>
                <w:lang w:eastAsia="fr-FR"/>
              </w:rPr>
              <w:t xml:space="preserve"> Les factures émises dans le cadre de l’exécution du marché sont libellées, et envoyées au nom de la SISP uniquement par voie électronique à l’adresse mail suivante : </w:t>
            </w:r>
            <w:r w:rsidRPr="00514C97">
              <w:rPr>
                <w:rFonts w:eastAsia="Times New Roman" w:cs="Arial"/>
                <w:b/>
                <w:i/>
                <w:color w:val="3E5B7B"/>
                <w:szCs w:val="20"/>
                <w:lang w:eastAsia="fr-FR"/>
              </w:rPr>
              <w:t>[</w:t>
            </w:r>
            <w:proofErr w:type="spellStart"/>
            <w:r w:rsidRPr="00514C97">
              <w:rPr>
                <w:rFonts w:eastAsia="Times New Roman" w:cs="Arial"/>
                <w:b/>
                <w:i/>
                <w:color w:val="3E5B7B"/>
                <w:szCs w:val="20"/>
                <w:lang w:eastAsia="fr-FR"/>
              </w:rPr>
              <w:t>xxx@xx.xx</w:t>
            </w:r>
            <w:proofErr w:type="spellEnd"/>
            <w:r w:rsidRPr="00514C97">
              <w:rPr>
                <w:rFonts w:eastAsia="Times New Roman" w:cs="Arial"/>
                <w:b/>
                <w:i/>
                <w:color w:val="3E5B7B"/>
                <w:szCs w:val="20"/>
                <w:lang w:eastAsia="fr-FR"/>
              </w:rPr>
              <w:t>]</w:t>
            </w:r>
            <w:r w:rsidRPr="00514C97">
              <w:rPr>
                <w:rFonts w:eastAsia="Times New Roman" w:cs="Arial"/>
                <w:bCs/>
                <w:iCs/>
                <w:color w:val="3E5B7B"/>
                <w:szCs w:val="20"/>
                <w:lang w:eastAsia="fr-FR"/>
              </w:rPr>
              <w:t> </w:t>
            </w:r>
            <w:r w:rsidRPr="00514C97">
              <w:rPr>
                <w:rFonts w:eastAsia="Times New Roman" w:cs="Arial"/>
                <w:bCs/>
                <w:iCs/>
                <w:szCs w:val="20"/>
                <w:lang w:eastAsia="fr-FR"/>
              </w:rPr>
              <w:t>;</w:t>
            </w:r>
          </w:p>
          <w:p w14:paraId="4A2E7CB3" w14:textId="6730A6CF" w:rsidR="006C2BB6" w:rsidRPr="00514C97" w:rsidRDefault="006C2BB6" w:rsidP="006C2BB6">
            <w:pPr>
              <w:numPr>
                <w:ilvl w:val="0"/>
                <w:numId w:val="1"/>
              </w:numPr>
              <w:rPr>
                <w:rFonts w:eastAsia="Times New Roman" w:cs="Arial"/>
                <w:b/>
                <w:i/>
                <w:szCs w:val="20"/>
                <w:lang w:eastAsia="fr-FR"/>
              </w:rPr>
            </w:pPr>
            <w:r w:rsidRPr="00514C97">
              <w:rPr>
                <w:rFonts w:eastAsia="Times New Roman" w:cs="Arial"/>
                <w:szCs w:val="20"/>
                <w:lang w:eastAsia="fr-FR"/>
              </w:rPr>
              <w:t>Les factures sont signées et mentionnent : »</w:t>
            </w:r>
          </w:p>
          <w:p w14:paraId="25E02B83" w14:textId="77777777" w:rsidR="006C2BB6" w:rsidRPr="00514C97" w:rsidRDefault="006C2BB6" w:rsidP="006C2BB6">
            <w:pPr>
              <w:rPr>
                <w:rFonts w:eastAsia="Times New Roman" w:cs="Arial"/>
                <w:b/>
                <w:iCs/>
                <w:szCs w:val="20"/>
                <w:lang w:eastAsia="fr-FR"/>
              </w:rPr>
            </w:pPr>
          </w:p>
          <w:p w14:paraId="4C7A1419" w14:textId="77777777" w:rsidR="006C2BB6" w:rsidRDefault="006C2BB6" w:rsidP="006C2BB6">
            <w:pPr>
              <w:spacing w:after="60"/>
              <w:jc w:val="both"/>
              <w:rPr>
                <w:rFonts w:eastAsia="Times New Roman" w:cs="Arial"/>
                <w:b/>
                <w:bCs/>
                <w:lang w:eastAsia="fr-FR"/>
              </w:rPr>
            </w:pPr>
            <w:r w:rsidRPr="00514C97">
              <w:rPr>
                <w:rFonts w:eastAsia="Times New Roman" w:cs="Arial"/>
                <w:b/>
                <w:bCs/>
                <w:lang w:eastAsia="fr-FR"/>
              </w:rPr>
              <w:t>Est remplacé par :</w:t>
            </w:r>
          </w:p>
          <w:p w14:paraId="71C6C3EE" w14:textId="77777777" w:rsidR="006C2BB6" w:rsidRPr="00514C97" w:rsidRDefault="006C2BB6" w:rsidP="006C2BB6">
            <w:pPr>
              <w:spacing w:after="60"/>
              <w:jc w:val="both"/>
              <w:rPr>
                <w:rFonts w:eastAsia="Times New Roman" w:cs="Arial"/>
                <w:b/>
                <w:bCs/>
                <w:lang w:eastAsia="fr-FR"/>
              </w:rPr>
            </w:pPr>
          </w:p>
          <w:p w14:paraId="040E861A" w14:textId="64D0B45C" w:rsidR="006C2BB6" w:rsidRPr="00514C97" w:rsidRDefault="006C2BB6" w:rsidP="006C2BB6">
            <w:pPr>
              <w:pStyle w:val="Paragraphedeliste"/>
              <w:numPr>
                <w:ilvl w:val="0"/>
                <w:numId w:val="1"/>
              </w:numPr>
              <w:spacing w:after="120"/>
              <w:contextualSpacing w:val="0"/>
              <w:jc w:val="both"/>
              <w:rPr>
                <w:rFonts w:eastAsia="Times New Roman" w:cs="Arial"/>
                <w:szCs w:val="20"/>
                <w:lang w:eastAsia="fr-FR"/>
              </w:rPr>
            </w:pPr>
            <w:r w:rsidRPr="00514C97">
              <w:rPr>
                <w:rFonts w:eastAsia="Times New Roman" w:cs="Arial"/>
                <w:bCs/>
                <w:iCs/>
                <w:szCs w:val="20"/>
                <w:lang w:eastAsia="fr-FR"/>
              </w:rPr>
              <w:t>« </w:t>
            </w:r>
            <w:bookmarkStart w:id="3" w:name="_Hlk532292276"/>
            <w:r w:rsidRPr="00514C97">
              <w:rPr>
                <w:rFonts w:eastAsia="Times New Roman" w:cs="Arial"/>
                <w:szCs w:val="20"/>
                <w:lang w:eastAsia="fr-FR"/>
              </w:rPr>
              <w:t xml:space="preserve"> Facturation électronique : Pour un traitement et un paiement rapide, le pouvoir adjudicateur accepte </w:t>
            </w:r>
            <w:r w:rsidRPr="00514C97">
              <w:rPr>
                <w:rFonts w:eastAsia="Times New Roman" w:cs="Arial"/>
                <w:b/>
                <w:bCs/>
                <w:szCs w:val="20"/>
                <w:lang w:eastAsia="fr-FR"/>
              </w:rPr>
              <w:t>uniquement</w:t>
            </w:r>
            <w:r w:rsidRPr="00514C97">
              <w:rPr>
                <w:rFonts w:eastAsia="Times New Roman" w:cs="Arial"/>
                <w:szCs w:val="20"/>
                <w:lang w:eastAsia="fr-FR"/>
              </w:rPr>
              <w:t xml:space="preserve"> la transmission des factures sous un format électronique (au format XML selon le standard PEPPOL bis), conformément à l'article 192/1 de la loi du 17/06/2016, via la plateforme </w:t>
            </w:r>
            <w:proofErr w:type="spellStart"/>
            <w:r w:rsidRPr="00514C97">
              <w:rPr>
                <w:rFonts w:eastAsia="Times New Roman" w:cs="Arial"/>
                <w:szCs w:val="20"/>
                <w:lang w:eastAsia="fr-FR"/>
              </w:rPr>
              <w:t>Mercurius</w:t>
            </w:r>
            <w:proofErr w:type="spellEnd"/>
            <w:r>
              <w:rPr>
                <w:rFonts w:eastAsia="Times New Roman" w:cs="Arial"/>
                <w:szCs w:val="20"/>
                <w:lang w:eastAsia="fr-FR"/>
              </w:rPr>
              <w:t>.</w:t>
            </w:r>
          </w:p>
          <w:bookmarkEnd w:id="3"/>
          <w:p w14:paraId="3C3B4A85" w14:textId="4DB558F7" w:rsidR="006C2BB6" w:rsidRPr="00514C97" w:rsidRDefault="006C2BB6" w:rsidP="006C2BB6">
            <w:pPr>
              <w:numPr>
                <w:ilvl w:val="0"/>
                <w:numId w:val="1"/>
              </w:numPr>
              <w:rPr>
                <w:rFonts w:eastAsia="Times New Roman" w:cs="Arial"/>
                <w:b/>
                <w:i/>
                <w:color w:val="0000FF"/>
                <w:szCs w:val="20"/>
                <w:lang w:eastAsia="fr-FR"/>
              </w:rPr>
            </w:pPr>
            <w:r w:rsidRPr="00514C97">
              <w:rPr>
                <w:rFonts w:eastAsia="Times New Roman" w:cs="Arial"/>
                <w:szCs w:val="20"/>
                <w:lang w:eastAsia="fr-FR"/>
              </w:rPr>
              <w:t>Les factures mentionnent :</w:t>
            </w:r>
            <w:r>
              <w:rPr>
                <w:rFonts w:eastAsia="Times New Roman" w:cs="Arial"/>
                <w:szCs w:val="20"/>
                <w:lang w:eastAsia="fr-FR"/>
              </w:rPr>
              <w:t> »</w:t>
            </w:r>
          </w:p>
          <w:p w14:paraId="14D97A17" w14:textId="49A69733" w:rsidR="006C2BB6" w:rsidRPr="00514C97" w:rsidRDefault="006C2BB6" w:rsidP="006C2BB6">
            <w:pPr>
              <w:rPr>
                <w:rFonts w:eastAsia="Times New Roman" w:cs="Arial"/>
                <w:bCs/>
                <w:iCs/>
                <w:szCs w:val="20"/>
                <w:lang w:eastAsia="fr-FR"/>
              </w:rPr>
            </w:pPr>
          </w:p>
          <w:p w14:paraId="53051D1C" w14:textId="7472C467" w:rsidR="006C2BB6" w:rsidRDefault="006C2BB6" w:rsidP="006C2BB6">
            <w:pPr>
              <w:jc w:val="both"/>
              <w:rPr>
                <w:szCs w:val="24"/>
              </w:rPr>
            </w:pPr>
          </w:p>
        </w:tc>
        <w:tc>
          <w:tcPr>
            <w:tcW w:w="4771" w:type="dxa"/>
            <w:gridSpan w:val="2"/>
            <w:shd w:val="clear" w:color="auto" w:fill="auto"/>
            <w:vAlign w:val="center"/>
          </w:tcPr>
          <w:p w14:paraId="493930DD" w14:textId="467F856C" w:rsidR="006C2BB6" w:rsidRPr="00514C97" w:rsidRDefault="006C2BB6" w:rsidP="006C2BB6">
            <w:pPr>
              <w:numPr>
                <w:ilvl w:val="0"/>
                <w:numId w:val="2"/>
              </w:numPr>
              <w:spacing w:after="120"/>
              <w:ind w:left="720"/>
              <w:rPr>
                <w:rFonts w:eastAsia="Times New Roman" w:cs="Arial"/>
                <w:szCs w:val="20"/>
                <w:lang w:val="nl-NL" w:eastAsia="fr-FR"/>
              </w:rPr>
            </w:pPr>
            <w:bookmarkStart w:id="4" w:name="_Hlk536611695"/>
            <w:r>
              <w:rPr>
                <w:rFonts w:eastAsia="Times New Roman" w:cs="Arial"/>
                <w:szCs w:val="20"/>
                <w:lang w:val="nl-NL" w:eastAsia="fr-FR"/>
              </w:rPr>
              <w:t>“</w:t>
            </w:r>
            <w:r w:rsidRPr="00514C97">
              <w:rPr>
                <w:rFonts w:eastAsia="Times New Roman" w:cs="Arial"/>
                <w:szCs w:val="20"/>
                <w:lang w:val="nl-NL" w:eastAsia="fr-FR"/>
              </w:rPr>
              <w:t xml:space="preserve">De in het kader van de uitvoering van de opdracht uitgegeven facturen worden opgesteld op naam van de OVM en worden enkel per e-mail naar het volgende adres: </w:t>
            </w:r>
            <w:r w:rsidRPr="00514C97">
              <w:rPr>
                <w:rFonts w:eastAsia="Times New Roman" w:cs="Arial"/>
                <w:b/>
                <w:i/>
                <w:color w:val="3E5B7B"/>
                <w:szCs w:val="20"/>
                <w:lang w:val="nl-NL" w:eastAsia="fr-FR"/>
              </w:rPr>
              <w:t>[</w:t>
            </w:r>
            <w:proofErr w:type="spellStart"/>
            <w:r w:rsidRPr="00514C97">
              <w:rPr>
                <w:rFonts w:eastAsia="Times New Roman" w:cs="Arial"/>
                <w:b/>
                <w:i/>
                <w:color w:val="3E5B7B"/>
                <w:szCs w:val="20"/>
                <w:lang w:val="nl-NL" w:eastAsia="fr-FR"/>
              </w:rPr>
              <w:t>xxx@xx.xx</w:t>
            </w:r>
            <w:proofErr w:type="spellEnd"/>
            <w:r w:rsidRPr="00514C97">
              <w:rPr>
                <w:rFonts w:eastAsia="Times New Roman" w:cs="Arial"/>
                <w:b/>
                <w:i/>
                <w:color w:val="3E5B7B"/>
                <w:szCs w:val="20"/>
                <w:lang w:val="nl-NL" w:eastAsia="fr-FR"/>
              </w:rPr>
              <w:t>]</w:t>
            </w:r>
            <w:r w:rsidRPr="00514C97">
              <w:rPr>
                <w:rFonts w:eastAsia="Times New Roman" w:cs="Arial"/>
                <w:color w:val="0000FF"/>
                <w:szCs w:val="20"/>
                <w:u w:val="single"/>
                <w:lang w:val="nl-NL" w:eastAsia="fr-FR"/>
              </w:rPr>
              <w:t xml:space="preserve"> verstuurd.</w:t>
            </w:r>
            <w:bookmarkEnd w:id="4"/>
          </w:p>
          <w:p w14:paraId="32147D08" w14:textId="1BB3894C" w:rsidR="006C2BB6" w:rsidRDefault="006C2BB6" w:rsidP="006C2BB6">
            <w:pPr>
              <w:numPr>
                <w:ilvl w:val="0"/>
                <w:numId w:val="2"/>
              </w:numPr>
              <w:tabs>
                <w:tab w:val="left" w:pos="284"/>
              </w:tabs>
              <w:ind w:left="714" w:hanging="357"/>
              <w:jc w:val="both"/>
              <w:rPr>
                <w:rFonts w:eastAsia="Times New Roman" w:cs="Arial"/>
                <w:szCs w:val="20"/>
                <w:lang w:val="nl-NL" w:eastAsia="fr-FR"/>
              </w:rPr>
            </w:pPr>
            <w:r w:rsidRPr="00514C97">
              <w:rPr>
                <w:rFonts w:eastAsia="Times New Roman" w:cs="Arial"/>
                <w:szCs w:val="20"/>
                <w:lang w:val="nl-NL" w:eastAsia="fr-FR"/>
              </w:rPr>
              <w:t>De facturen worden ondertekend en vermelden:</w:t>
            </w:r>
            <w:r>
              <w:rPr>
                <w:rFonts w:eastAsia="Times New Roman" w:cs="Arial"/>
                <w:szCs w:val="20"/>
                <w:lang w:val="nl-NL" w:eastAsia="fr-FR"/>
              </w:rPr>
              <w:t>”</w:t>
            </w:r>
          </w:p>
          <w:p w14:paraId="096748E4" w14:textId="77777777" w:rsidR="006C2BB6" w:rsidRDefault="006C2BB6" w:rsidP="006C2BB6">
            <w:pPr>
              <w:tabs>
                <w:tab w:val="left" w:pos="284"/>
              </w:tabs>
              <w:jc w:val="both"/>
              <w:rPr>
                <w:rFonts w:eastAsia="Times New Roman" w:cs="Arial"/>
                <w:szCs w:val="20"/>
                <w:lang w:val="nl-NL" w:eastAsia="fr-FR"/>
              </w:rPr>
            </w:pPr>
          </w:p>
          <w:p w14:paraId="4C4C993F" w14:textId="77777777" w:rsidR="006C2BB6" w:rsidRPr="00514C97" w:rsidRDefault="006C2BB6" w:rsidP="006C2BB6">
            <w:pPr>
              <w:tabs>
                <w:tab w:val="left" w:pos="284"/>
              </w:tabs>
              <w:jc w:val="both"/>
              <w:rPr>
                <w:rFonts w:eastAsia="Times New Roman" w:cs="Arial"/>
                <w:szCs w:val="20"/>
                <w:lang w:val="nl-NL" w:eastAsia="fr-FR"/>
              </w:rPr>
            </w:pPr>
          </w:p>
          <w:p w14:paraId="5DCF6ECF" w14:textId="77777777" w:rsidR="006C2BB6" w:rsidRPr="00A12A54" w:rsidRDefault="006C2BB6" w:rsidP="006C2BB6">
            <w:pPr>
              <w:spacing w:after="60"/>
              <w:jc w:val="both"/>
              <w:rPr>
                <w:b/>
                <w:bCs/>
                <w:lang w:val="nl-NL"/>
              </w:rPr>
            </w:pPr>
            <w:r w:rsidRPr="00A12A54">
              <w:rPr>
                <w:b/>
                <w:bCs/>
                <w:lang w:val="nl-NL"/>
              </w:rPr>
              <w:t xml:space="preserve">Vervangen door : </w:t>
            </w:r>
          </w:p>
          <w:p w14:paraId="083FD586" w14:textId="77777777" w:rsidR="006C2BB6" w:rsidRDefault="006C2BB6" w:rsidP="006C2BB6">
            <w:pPr>
              <w:jc w:val="both"/>
              <w:rPr>
                <w:lang w:val="nl-NL"/>
              </w:rPr>
            </w:pPr>
          </w:p>
          <w:p w14:paraId="4D1C40B1" w14:textId="04CD3D93" w:rsidR="006C2BB6" w:rsidRPr="006C1B11" w:rsidRDefault="006C2BB6" w:rsidP="006C2BB6">
            <w:pPr>
              <w:pStyle w:val="Paragraphedeliste"/>
              <w:numPr>
                <w:ilvl w:val="0"/>
                <w:numId w:val="3"/>
              </w:numPr>
              <w:spacing w:after="120"/>
              <w:ind w:left="717"/>
              <w:contextualSpacing w:val="0"/>
              <w:rPr>
                <w:rFonts w:eastAsia="Arial" w:cs="Arial"/>
                <w:lang w:val="nl-NL"/>
              </w:rPr>
            </w:pPr>
            <w:r>
              <w:rPr>
                <w:lang w:val="nl-NL"/>
              </w:rPr>
              <w:t>“</w:t>
            </w:r>
            <w:r w:rsidRPr="006C1B11">
              <w:rPr>
                <w:rFonts w:eastAsia="Arial" w:cs="Arial"/>
                <w:szCs w:val="20"/>
                <w:lang w:val="nl-NL" w:eastAsia="fr-FR"/>
              </w:rPr>
              <w:t xml:space="preserve"> Voor een snelle behandeling en betaling aanvaardt de aanbestedende overheid </w:t>
            </w:r>
            <w:r w:rsidRPr="006C1B11">
              <w:rPr>
                <w:rFonts w:eastAsia="Arial" w:cs="Arial"/>
                <w:b/>
                <w:bCs/>
                <w:szCs w:val="20"/>
                <w:lang w:val="nl-NL" w:eastAsia="fr-FR"/>
              </w:rPr>
              <w:t xml:space="preserve">alleen </w:t>
            </w:r>
            <w:r w:rsidRPr="006C1B11">
              <w:rPr>
                <w:rFonts w:eastAsia="Arial" w:cs="Arial"/>
                <w:szCs w:val="20"/>
                <w:lang w:val="nl-NL" w:eastAsia="fr-FR"/>
              </w:rPr>
              <w:t>de bezorging van facturen in een gestructureerd elektronisch formaat (XML -PEPPOL BIS), in toepassing van 192/1 van de wet van 17 juni 2016 inzake overheidsopdrachten.</w:t>
            </w:r>
          </w:p>
          <w:p w14:paraId="4FEA949A" w14:textId="77777777" w:rsidR="006C2BB6" w:rsidRPr="006C1B11" w:rsidRDefault="006C2BB6" w:rsidP="006C2BB6">
            <w:pPr>
              <w:spacing w:after="120"/>
              <w:ind w:left="717"/>
              <w:rPr>
                <w:rFonts w:eastAsia="Arial" w:cs="Arial"/>
                <w:lang w:val="nl-NL"/>
              </w:rPr>
            </w:pPr>
          </w:p>
          <w:p w14:paraId="7553AAAA" w14:textId="7D5250DA" w:rsidR="006C2BB6" w:rsidRPr="006C1B11" w:rsidRDefault="006C2BB6" w:rsidP="006C2BB6">
            <w:pPr>
              <w:numPr>
                <w:ilvl w:val="0"/>
                <w:numId w:val="2"/>
              </w:numPr>
              <w:tabs>
                <w:tab w:val="left" w:pos="284"/>
              </w:tabs>
              <w:ind w:left="714" w:hanging="357"/>
              <w:jc w:val="both"/>
              <w:rPr>
                <w:rFonts w:eastAsia="Times New Roman" w:cs="Arial"/>
                <w:szCs w:val="20"/>
                <w:lang w:val="nl-NL" w:eastAsia="fr-FR"/>
              </w:rPr>
            </w:pPr>
            <w:r w:rsidRPr="006C1B11">
              <w:rPr>
                <w:rFonts w:eastAsia="Times New Roman" w:cs="Arial"/>
                <w:szCs w:val="20"/>
                <w:lang w:val="nl-NL" w:eastAsia="fr-FR"/>
              </w:rPr>
              <w:t>De facturen vermelden:</w:t>
            </w:r>
            <w:r>
              <w:rPr>
                <w:rFonts w:eastAsia="Times New Roman" w:cs="Arial"/>
                <w:szCs w:val="20"/>
                <w:lang w:val="nl-NL" w:eastAsia="fr-FR"/>
              </w:rPr>
              <w:t>”</w:t>
            </w:r>
          </w:p>
          <w:p w14:paraId="063A9DDB" w14:textId="25C729FB" w:rsidR="006C2BB6" w:rsidRPr="00514C97" w:rsidRDefault="006C2BB6" w:rsidP="006C2BB6">
            <w:pPr>
              <w:jc w:val="both"/>
              <w:rPr>
                <w:lang w:val="nl-NL"/>
              </w:rPr>
            </w:pPr>
          </w:p>
        </w:tc>
      </w:tr>
      <w:tr w:rsidR="006C2BB6" w:rsidRPr="00B455B3" w14:paraId="6C098EBE" w14:textId="77777777" w:rsidTr="007F50D8">
        <w:trPr>
          <w:trHeight w:val="851"/>
        </w:trPr>
        <w:tc>
          <w:tcPr>
            <w:tcW w:w="9062" w:type="dxa"/>
            <w:gridSpan w:val="3"/>
            <w:shd w:val="clear" w:color="auto" w:fill="00A4B7"/>
            <w:vAlign w:val="center"/>
          </w:tcPr>
          <w:p w14:paraId="4E213C0D" w14:textId="0FDD33F3" w:rsidR="006C2BB6" w:rsidRPr="00B455B3" w:rsidRDefault="006C2BB6" w:rsidP="006C2BB6">
            <w:pPr>
              <w:spacing w:after="120"/>
              <w:ind w:left="720"/>
              <w:rPr>
                <w:rFonts w:eastAsia="Times New Roman" w:cs="Arial"/>
                <w:color w:val="FFFFFF" w:themeColor="background1"/>
                <w:szCs w:val="20"/>
                <w:lang w:eastAsia="fr-FR"/>
              </w:rPr>
            </w:pPr>
            <w:r w:rsidRPr="006C1B11">
              <w:rPr>
                <w:rFonts w:eastAsia="Times New Roman" w:cs="Arial"/>
                <w:color w:val="FFFFFF" w:themeColor="background1"/>
                <w:lang w:eastAsia="fr-FR"/>
              </w:rPr>
              <w:t xml:space="preserve">AR DU 14 JANVIER 2013, </w:t>
            </w:r>
            <w:r>
              <w:t xml:space="preserve"> </w:t>
            </w:r>
            <w:r w:rsidRPr="006C1B11">
              <w:rPr>
                <w:rFonts w:eastAsia="Times New Roman" w:cs="Times New Roman"/>
                <w:color w:val="FFFFFF" w:themeColor="background1"/>
                <w:szCs w:val="24"/>
                <w:lang w:eastAsia="fr-FR"/>
              </w:rPr>
              <w:t>Art. 147 §1 : Délais d’exécution</w:t>
            </w:r>
            <w:r>
              <w:rPr>
                <w:rFonts w:eastAsia="Times New Roman" w:cs="Times New Roman"/>
                <w:color w:val="FFFFFF" w:themeColor="background1"/>
                <w:szCs w:val="24"/>
                <w:lang w:eastAsia="fr-FR"/>
              </w:rPr>
              <w:t xml:space="preserve">, </w:t>
            </w:r>
            <w:r>
              <w:t xml:space="preserve"> </w:t>
            </w:r>
            <w:r w:rsidRPr="006C1B11">
              <w:rPr>
                <w:rFonts w:eastAsia="Times New Roman" w:cs="Times New Roman"/>
                <w:color w:val="FFFFFF" w:themeColor="background1"/>
                <w:szCs w:val="24"/>
                <w:lang w:eastAsia="fr-FR"/>
              </w:rPr>
              <w:t>1.</w:t>
            </w:r>
            <w:r w:rsidRPr="006C1B11">
              <w:rPr>
                <w:rFonts w:eastAsia="Times New Roman" w:cs="Times New Roman"/>
                <w:color w:val="FFFFFF" w:themeColor="background1"/>
                <w:szCs w:val="24"/>
                <w:lang w:eastAsia="fr-FR"/>
              </w:rPr>
              <w:tab/>
              <w:t>Remise des documents</w:t>
            </w:r>
            <w:r>
              <w:rPr>
                <w:rFonts w:eastAsia="Times New Roman" w:cs="Times New Roman"/>
                <w:color w:val="FFFFFF" w:themeColor="background1"/>
                <w:szCs w:val="24"/>
                <w:lang w:eastAsia="fr-FR"/>
              </w:rPr>
              <w:t xml:space="preserve"> (page 36)</w:t>
            </w:r>
          </w:p>
        </w:tc>
      </w:tr>
      <w:tr w:rsidR="006C2BB6" w:rsidRPr="006C1B11" w14:paraId="4458DBF7" w14:textId="77777777" w:rsidTr="003511C7">
        <w:trPr>
          <w:trHeight w:val="851"/>
        </w:trPr>
        <w:tc>
          <w:tcPr>
            <w:tcW w:w="9062" w:type="dxa"/>
            <w:gridSpan w:val="3"/>
            <w:shd w:val="clear" w:color="auto" w:fill="auto"/>
            <w:vAlign w:val="center"/>
          </w:tcPr>
          <w:p w14:paraId="53965174" w14:textId="77777777" w:rsidR="006C2BB6" w:rsidRDefault="006C2BB6" w:rsidP="006C2BB6">
            <w:pPr>
              <w:pStyle w:val="Paragraphedeliste"/>
              <w:ind w:left="0"/>
              <w:contextualSpacing w:val="0"/>
              <w:rPr>
                <w:rFonts w:eastAsia="Times New Roman" w:cs="Arial"/>
                <w:b/>
                <w:bCs/>
                <w:lang w:eastAsia="fr-FR"/>
              </w:rPr>
            </w:pPr>
          </w:p>
          <w:p w14:paraId="36727FD0" w14:textId="4F5A3B00" w:rsidR="006C2BB6" w:rsidRPr="00681E9F" w:rsidRDefault="006C2BB6" w:rsidP="006C2BB6">
            <w:pPr>
              <w:pStyle w:val="Paragraphedeliste"/>
              <w:ind w:left="0"/>
              <w:contextualSpacing w:val="0"/>
              <w:rPr>
                <w:rFonts w:eastAsia="Times New Roman" w:cs="Arial"/>
                <w:b/>
                <w:bCs/>
                <w:lang w:eastAsia="fr-FR"/>
              </w:rPr>
            </w:pPr>
            <w:r w:rsidRPr="00681E9F">
              <w:rPr>
                <w:rFonts w:eastAsia="Times New Roman" w:cs="Arial"/>
                <w:b/>
                <w:bCs/>
                <w:lang w:eastAsia="fr-FR"/>
              </w:rPr>
              <w:t>Nouveauté :</w:t>
            </w:r>
          </w:p>
          <w:p w14:paraId="121E0E61" w14:textId="77777777" w:rsidR="006C2BB6" w:rsidRDefault="006C2BB6" w:rsidP="006C2BB6">
            <w:pPr>
              <w:jc w:val="both"/>
            </w:pPr>
          </w:p>
          <w:tbl>
            <w:tblPr>
              <w:tblStyle w:val="Grilledutableau"/>
              <w:tblpPr w:leftFromText="141" w:rightFromText="141" w:vertAnchor="text" w:horzAnchor="margin" w:tblpY="-72"/>
              <w:tblW w:w="8926" w:type="dxa"/>
              <w:tblLook w:val="04A0" w:firstRow="1" w:lastRow="0" w:firstColumn="1" w:lastColumn="0" w:noHBand="0" w:noVBand="1"/>
            </w:tblPr>
            <w:tblGrid>
              <w:gridCol w:w="3781"/>
              <w:gridCol w:w="806"/>
              <w:gridCol w:w="4339"/>
            </w:tblGrid>
            <w:tr w:rsidR="006C2BB6" w:rsidRPr="00C7178D" w14:paraId="404D5230" w14:textId="77777777" w:rsidTr="00B455B3">
              <w:trPr>
                <w:trHeight w:val="360"/>
              </w:trPr>
              <w:tc>
                <w:tcPr>
                  <w:tcW w:w="3781" w:type="dxa"/>
                  <w:shd w:val="clear" w:color="auto" w:fill="D9D9D9" w:themeFill="background1" w:themeFillShade="D9"/>
                </w:tcPr>
                <w:p w14:paraId="1D21F167" w14:textId="77777777" w:rsidR="006C2BB6" w:rsidRPr="009A4DBD" w:rsidRDefault="006C2BB6" w:rsidP="006C2BB6">
                  <w:pPr>
                    <w:jc w:val="center"/>
                    <w:rPr>
                      <w:b/>
                      <w:lang w:eastAsia="fr-FR"/>
                    </w:rPr>
                  </w:pPr>
                  <w:r w:rsidRPr="009A4DBD">
                    <w:rPr>
                      <w:b/>
                      <w:lang w:eastAsia="fr-FR"/>
                    </w:rPr>
                    <w:t xml:space="preserve">DOCUMENTS </w:t>
                  </w:r>
                </w:p>
              </w:tc>
              <w:tc>
                <w:tcPr>
                  <w:tcW w:w="806" w:type="dxa"/>
                  <w:shd w:val="clear" w:color="auto" w:fill="D9D9D9" w:themeFill="background1" w:themeFillShade="D9"/>
                </w:tcPr>
                <w:p w14:paraId="3A36CA45" w14:textId="77777777" w:rsidR="006C2BB6" w:rsidRPr="009A4DBD" w:rsidRDefault="006C2BB6" w:rsidP="006C2BB6">
                  <w:pPr>
                    <w:jc w:val="center"/>
                    <w:rPr>
                      <w:b/>
                      <w:lang w:eastAsia="fr-FR"/>
                    </w:rPr>
                  </w:pPr>
                  <w:r w:rsidRPr="009A4DBD">
                    <w:rPr>
                      <w:b/>
                      <w:lang w:eastAsia="fr-FR"/>
                    </w:rPr>
                    <w:t>DELAI</w:t>
                  </w:r>
                </w:p>
              </w:tc>
              <w:tc>
                <w:tcPr>
                  <w:tcW w:w="4339" w:type="dxa"/>
                  <w:shd w:val="clear" w:color="auto" w:fill="D9D9D9" w:themeFill="background1" w:themeFillShade="D9"/>
                </w:tcPr>
                <w:p w14:paraId="62FA8857" w14:textId="77777777" w:rsidR="006C2BB6" w:rsidRPr="00C7178D" w:rsidRDefault="006C2BB6" w:rsidP="006C2BB6">
                  <w:pPr>
                    <w:spacing w:after="120"/>
                    <w:jc w:val="center"/>
                    <w:rPr>
                      <w:b/>
                    </w:rPr>
                  </w:pPr>
                  <w:r>
                    <w:rPr>
                      <w:b/>
                    </w:rPr>
                    <w:t xml:space="preserve">POINT DE DEPART DU DELAI </w:t>
                  </w:r>
                </w:p>
              </w:tc>
            </w:tr>
            <w:tr w:rsidR="006C2BB6" w14:paraId="64985BD9" w14:textId="77777777" w:rsidTr="00B455B3">
              <w:tc>
                <w:tcPr>
                  <w:tcW w:w="3781" w:type="dxa"/>
                </w:tcPr>
                <w:p w14:paraId="7156DA72" w14:textId="77777777" w:rsidR="006C2BB6" w:rsidRDefault="006C2BB6" w:rsidP="006C2BB6">
                  <w:pPr>
                    <w:rPr>
                      <w:lang w:eastAsia="fr-FR"/>
                    </w:rPr>
                  </w:pPr>
                  <w:r w:rsidRPr="004B1C0F">
                    <w:rPr>
                      <w:lang w:eastAsia="fr-FR"/>
                    </w:rPr>
                    <w:t>Dépôt de la note de demande d’études complémentaires</w:t>
                  </w:r>
                </w:p>
              </w:tc>
              <w:tc>
                <w:tcPr>
                  <w:tcW w:w="806" w:type="dxa"/>
                </w:tcPr>
                <w:p w14:paraId="2C072D8B" w14:textId="77777777" w:rsidR="006C2BB6" w:rsidRPr="004B1C0F" w:rsidRDefault="006C2BB6" w:rsidP="006C2BB6">
                  <w:pPr>
                    <w:rPr>
                      <w:bCs/>
                      <w:iCs/>
                      <w:color w:val="3E5B7B"/>
                      <w:lang w:eastAsia="fr-FR"/>
                    </w:rPr>
                  </w:pPr>
                  <w:r w:rsidRPr="004B1C0F">
                    <w:rPr>
                      <w:bCs/>
                      <w:iCs/>
                      <w:color w:val="3E5B7B"/>
                      <w:lang w:eastAsia="fr-FR"/>
                    </w:rPr>
                    <w:t>15 JC</w:t>
                  </w:r>
                </w:p>
              </w:tc>
              <w:tc>
                <w:tcPr>
                  <w:tcW w:w="4339" w:type="dxa"/>
                </w:tcPr>
                <w:p w14:paraId="2A6AF727" w14:textId="77777777" w:rsidR="006C2BB6" w:rsidRDefault="006C2BB6" w:rsidP="006C2BB6">
                  <w:pPr>
                    <w:spacing w:after="60"/>
                    <w:jc w:val="center"/>
                  </w:pPr>
                  <w:r w:rsidRPr="004B1C0F">
                    <w:t>A partir de la tenue de la première réunion de coordination</w:t>
                  </w:r>
                </w:p>
              </w:tc>
            </w:tr>
          </w:tbl>
          <w:p w14:paraId="5C4E37DB" w14:textId="77777777" w:rsidR="006C2BB6" w:rsidRDefault="006C2BB6" w:rsidP="006C2BB6">
            <w:pPr>
              <w:jc w:val="both"/>
            </w:pPr>
          </w:p>
          <w:p w14:paraId="4FAA3258" w14:textId="77777777" w:rsidR="006C2BB6" w:rsidRDefault="006C2BB6" w:rsidP="006C2BB6">
            <w:pPr>
              <w:jc w:val="both"/>
            </w:pPr>
          </w:p>
          <w:p w14:paraId="5D81700C" w14:textId="77777777" w:rsidR="006C2BB6" w:rsidRDefault="006C2BB6" w:rsidP="006C2BB6">
            <w:pPr>
              <w:jc w:val="both"/>
            </w:pPr>
          </w:p>
          <w:p w14:paraId="77C16A24" w14:textId="63F621DB" w:rsidR="006C2BB6" w:rsidRPr="00681E9F" w:rsidRDefault="006C2BB6" w:rsidP="006C2BB6">
            <w:pPr>
              <w:jc w:val="both"/>
              <w:rPr>
                <w:b/>
                <w:bCs/>
              </w:rPr>
            </w:pPr>
            <w:r w:rsidRPr="00681E9F">
              <w:rPr>
                <w:b/>
                <w:bCs/>
              </w:rPr>
              <w:t>Modification :</w:t>
            </w:r>
          </w:p>
          <w:p w14:paraId="141B0DF9" w14:textId="77777777" w:rsidR="006C2BB6" w:rsidRDefault="006C2BB6" w:rsidP="006C2BB6">
            <w:pPr>
              <w:jc w:val="both"/>
            </w:pPr>
          </w:p>
          <w:tbl>
            <w:tblPr>
              <w:tblStyle w:val="Grilledutableau"/>
              <w:tblpPr w:leftFromText="141" w:rightFromText="141" w:vertAnchor="text" w:horzAnchor="margin" w:tblpY="-72"/>
              <w:tblW w:w="8789" w:type="dxa"/>
              <w:tblLook w:val="04A0" w:firstRow="1" w:lastRow="0" w:firstColumn="1" w:lastColumn="0" w:noHBand="0" w:noVBand="1"/>
            </w:tblPr>
            <w:tblGrid>
              <w:gridCol w:w="3575"/>
              <w:gridCol w:w="950"/>
              <w:gridCol w:w="4264"/>
            </w:tblGrid>
            <w:tr w:rsidR="006C2BB6" w:rsidRPr="00B455B3" w14:paraId="5873EE5E" w14:textId="77777777" w:rsidTr="00681E9F">
              <w:tc>
                <w:tcPr>
                  <w:tcW w:w="3575" w:type="dxa"/>
                </w:tcPr>
                <w:p w14:paraId="36B64E29" w14:textId="77777777" w:rsidR="006C2BB6" w:rsidRPr="00B455B3" w:rsidRDefault="006C2BB6" w:rsidP="006C2BB6">
                  <w:pPr>
                    <w:spacing w:after="160" w:line="259" w:lineRule="auto"/>
                    <w:jc w:val="center"/>
                  </w:pPr>
                  <w:r w:rsidRPr="00B455B3">
                    <w:t>Esquisse définitive</w:t>
                  </w:r>
                </w:p>
              </w:tc>
              <w:tc>
                <w:tcPr>
                  <w:tcW w:w="950" w:type="dxa"/>
                </w:tcPr>
                <w:p w14:paraId="0AE14DC5" w14:textId="77777777" w:rsidR="006C2BB6" w:rsidRPr="00B455B3" w:rsidRDefault="006C2BB6" w:rsidP="006C2BB6">
                  <w:pPr>
                    <w:spacing w:after="160" w:line="259" w:lineRule="auto"/>
                    <w:jc w:val="center"/>
                  </w:pPr>
                  <w:r w:rsidRPr="00B455B3">
                    <w:rPr>
                      <w:b/>
                      <w:i/>
                    </w:rPr>
                    <w:t>[60]</w:t>
                  </w:r>
                  <w:r w:rsidRPr="00B455B3">
                    <w:t>JC</w:t>
                  </w:r>
                </w:p>
              </w:tc>
              <w:tc>
                <w:tcPr>
                  <w:tcW w:w="4264" w:type="dxa"/>
                </w:tcPr>
                <w:p w14:paraId="00712E00" w14:textId="77777777" w:rsidR="006C2BB6" w:rsidRPr="00681E9F" w:rsidRDefault="006C2BB6" w:rsidP="006C2BB6">
                  <w:pPr>
                    <w:spacing w:after="160" w:line="259" w:lineRule="auto"/>
                    <w:rPr>
                      <w:lang w:val="fr-BE"/>
                    </w:rPr>
                  </w:pPr>
                  <w:r w:rsidRPr="00681E9F">
                    <w:rPr>
                      <w:lang w:val="fr-BE"/>
                    </w:rPr>
                    <w:t>« </w:t>
                  </w:r>
                  <w:r w:rsidRPr="00681E9F">
                    <w:t>A partir de l’envoi de la lettre de commande par l’adjudicateur (avec l’approbation de la SLRB le cas échéant). »</w:t>
                  </w:r>
                </w:p>
                <w:p w14:paraId="10FE68A8" w14:textId="77777777" w:rsidR="006C2BB6" w:rsidRPr="00681E9F" w:rsidRDefault="006C2BB6" w:rsidP="006C2BB6">
                  <w:pPr>
                    <w:spacing w:after="160" w:line="259" w:lineRule="auto"/>
                    <w:rPr>
                      <w:b/>
                      <w:bCs/>
                      <w:lang w:val="fr-BE"/>
                    </w:rPr>
                  </w:pPr>
                  <w:r w:rsidRPr="00681E9F">
                    <w:rPr>
                      <w:b/>
                      <w:bCs/>
                      <w:lang w:val="fr-BE"/>
                    </w:rPr>
                    <w:t>Est remplacé par :</w:t>
                  </w:r>
                </w:p>
                <w:p w14:paraId="0B01A06B" w14:textId="77777777" w:rsidR="006C2BB6" w:rsidRPr="00B455B3" w:rsidRDefault="006C2BB6" w:rsidP="006C2BB6">
                  <w:pPr>
                    <w:spacing w:after="160" w:line="259" w:lineRule="auto"/>
                    <w:rPr>
                      <w:lang w:val="fr-BE"/>
                    </w:rPr>
                  </w:pPr>
                  <w:r w:rsidRPr="00681E9F">
                    <w:rPr>
                      <w:lang w:val="fr-BE"/>
                    </w:rPr>
                    <w:t>« </w:t>
                  </w:r>
                  <w:r w:rsidRPr="00B455B3">
                    <w:rPr>
                      <w:lang w:val="fr-BE"/>
                    </w:rPr>
                    <w:t>A partir de l’obtention des documents complémentaires listés par l’auteur de projet et approuvés par la SISP (avec approbation de la SLRB le cas échéant).</w:t>
                  </w:r>
                  <w:r w:rsidRPr="00681E9F">
                    <w:rPr>
                      <w:lang w:val="fr-BE"/>
                    </w:rPr>
                    <w:t> »</w:t>
                  </w:r>
                </w:p>
              </w:tc>
            </w:tr>
          </w:tbl>
          <w:p w14:paraId="1EA1E848" w14:textId="77777777" w:rsidR="006C2BB6" w:rsidRPr="006C1B11" w:rsidRDefault="006C2BB6" w:rsidP="006C2BB6">
            <w:pPr>
              <w:jc w:val="both"/>
            </w:pPr>
          </w:p>
        </w:tc>
      </w:tr>
      <w:tr w:rsidR="006C2BB6" w:rsidRPr="006C2BB6" w14:paraId="31D0EB3C" w14:textId="77777777" w:rsidTr="00681E9F">
        <w:trPr>
          <w:trHeight w:val="851"/>
        </w:trPr>
        <w:tc>
          <w:tcPr>
            <w:tcW w:w="9062" w:type="dxa"/>
            <w:gridSpan w:val="3"/>
            <w:shd w:val="clear" w:color="auto" w:fill="00A4B7"/>
            <w:vAlign w:val="center"/>
          </w:tcPr>
          <w:p w14:paraId="56332648" w14:textId="57C83811" w:rsidR="006C2BB6" w:rsidRPr="007953A5" w:rsidRDefault="006C2BB6" w:rsidP="006C2BB6">
            <w:pPr>
              <w:spacing w:after="120"/>
              <w:ind w:left="720"/>
              <w:rPr>
                <w:rFonts w:eastAsia="Times New Roman" w:cs="Arial"/>
                <w:color w:val="FFFFFF" w:themeColor="background1"/>
                <w:lang w:val="nl-NL" w:eastAsia="fr-FR"/>
              </w:rPr>
            </w:pPr>
            <w:r w:rsidRPr="007953A5">
              <w:rPr>
                <w:rFonts w:eastAsia="Times New Roman" w:cs="Arial"/>
                <w:color w:val="FFFFFF" w:themeColor="background1"/>
                <w:lang w:val="nl-NL" w:eastAsia="fr-FR"/>
              </w:rPr>
              <w:t xml:space="preserve">KB VAN 14 JANUARI 2013,  </w:t>
            </w:r>
            <w:r w:rsidRPr="006C2BB6">
              <w:rPr>
                <w:lang w:val="nl-NL"/>
              </w:rPr>
              <w:t xml:space="preserve"> </w:t>
            </w:r>
            <w:r w:rsidRPr="006C2BB6">
              <w:rPr>
                <w:rFonts w:eastAsia="Times New Roman" w:cs="Arial"/>
                <w:color w:val="FFFFFF" w:themeColor="background1"/>
                <w:lang w:val="nl-NL" w:eastAsia="fr-FR"/>
              </w:rPr>
              <w:t>Art. 147 §1 : Uitvoeringstermijnen</w:t>
            </w:r>
            <w:r>
              <w:rPr>
                <w:rFonts w:eastAsia="Times New Roman" w:cs="Arial"/>
                <w:color w:val="FFFFFF" w:themeColor="background1"/>
                <w:lang w:val="nl-NL" w:eastAsia="fr-FR"/>
              </w:rPr>
              <w:t>,</w:t>
            </w:r>
          </w:p>
          <w:p w14:paraId="142A321B" w14:textId="53A4B009" w:rsidR="006C2BB6" w:rsidRPr="006C2BB6" w:rsidRDefault="006C2BB6" w:rsidP="006C2BB6">
            <w:pPr>
              <w:spacing w:after="120"/>
              <w:ind w:left="720"/>
              <w:rPr>
                <w:lang w:val="nl-NL"/>
              </w:rPr>
            </w:pPr>
            <w:r w:rsidRPr="006C2BB6">
              <w:rPr>
                <w:rFonts w:eastAsia="Times New Roman" w:cs="Arial"/>
                <w:color w:val="FFFFFF" w:themeColor="background1"/>
                <w:lang w:val="nl-NL" w:eastAsia="fr-FR"/>
              </w:rPr>
              <w:t>1.</w:t>
            </w:r>
            <w:r>
              <w:rPr>
                <w:rFonts w:eastAsia="Times New Roman" w:cs="Arial"/>
                <w:color w:val="FFFFFF" w:themeColor="background1"/>
                <w:lang w:val="nl-NL" w:eastAsia="fr-FR"/>
              </w:rPr>
              <w:t xml:space="preserve"> </w:t>
            </w:r>
            <w:r w:rsidRPr="006C2BB6">
              <w:rPr>
                <w:rFonts w:eastAsia="Times New Roman" w:cs="Arial"/>
                <w:color w:val="FFFFFF" w:themeColor="background1"/>
                <w:lang w:val="nl-NL" w:eastAsia="fr-FR"/>
              </w:rPr>
              <w:t>Indiening van de documenten</w:t>
            </w:r>
            <w:r w:rsidRPr="006C2BB6">
              <w:rPr>
                <w:rFonts w:eastAsia="Times New Roman" w:cs="Arial"/>
                <w:color w:val="FFFFFF" w:themeColor="background1"/>
                <w:lang w:val="nl-NL" w:eastAsia="fr-FR"/>
              </w:rPr>
              <w:t>(pagina 3</w:t>
            </w:r>
            <w:r>
              <w:rPr>
                <w:rFonts w:eastAsia="Times New Roman" w:cs="Arial"/>
                <w:color w:val="FFFFFF" w:themeColor="background1"/>
                <w:lang w:val="nl-NL" w:eastAsia="fr-FR"/>
              </w:rPr>
              <w:t>9</w:t>
            </w:r>
            <w:r w:rsidRPr="006C2BB6">
              <w:rPr>
                <w:rFonts w:eastAsia="Times New Roman" w:cs="Arial"/>
                <w:color w:val="FFFFFF" w:themeColor="background1"/>
                <w:lang w:val="nl-NL" w:eastAsia="fr-FR"/>
              </w:rPr>
              <w:t>)</w:t>
            </w:r>
          </w:p>
        </w:tc>
      </w:tr>
      <w:tr w:rsidR="006C2BB6" w:rsidRPr="007953A5" w14:paraId="04141A73" w14:textId="77777777" w:rsidTr="00237575">
        <w:trPr>
          <w:trHeight w:val="851"/>
        </w:trPr>
        <w:tc>
          <w:tcPr>
            <w:tcW w:w="9062" w:type="dxa"/>
            <w:gridSpan w:val="3"/>
            <w:shd w:val="clear" w:color="auto" w:fill="auto"/>
            <w:vAlign w:val="center"/>
          </w:tcPr>
          <w:p w14:paraId="4DA43C34" w14:textId="77777777" w:rsidR="006C2BB6" w:rsidRDefault="006C2BB6" w:rsidP="006C2BB6">
            <w:pPr>
              <w:jc w:val="both"/>
              <w:rPr>
                <w:lang w:val="nl-NL"/>
              </w:rPr>
            </w:pPr>
          </w:p>
          <w:p w14:paraId="0426C8E2" w14:textId="2003D237" w:rsidR="006C2BB6" w:rsidRDefault="006C2BB6" w:rsidP="006C2BB6">
            <w:pPr>
              <w:jc w:val="both"/>
              <w:rPr>
                <w:b/>
                <w:bCs/>
                <w:lang w:val="nl-NL"/>
              </w:rPr>
            </w:pPr>
            <w:r w:rsidRPr="00681E9F">
              <w:rPr>
                <w:b/>
                <w:bCs/>
                <w:lang w:val="nl-NL"/>
              </w:rPr>
              <w:t>Nieuw:</w:t>
            </w:r>
          </w:p>
          <w:p w14:paraId="7FB7BFA4" w14:textId="77777777" w:rsidR="006C2BB6" w:rsidRPr="00681E9F" w:rsidRDefault="006C2BB6" w:rsidP="006C2BB6">
            <w:pPr>
              <w:jc w:val="both"/>
              <w:rPr>
                <w:b/>
                <w:bCs/>
                <w:lang w:val="nl-NL"/>
              </w:rPr>
            </w:pPr>
          </w:p>
          <w:tbl>
            <w:tblPr>
              <w:tblStyle w:val="Grilledutableau"/>
              <w:tblpPr w:leftFromText="141" w:rightFromText="141" w:vertAnchor="text" w:horzAnchor="margin" w:tblpY="152"/>
              <w:tblW w:w="8926" w:type="dxa"/>
              <w:tblLook w:val="04A0" w:firstRow="1" w:lastRow="0" w:firstColumn="1" w:lastColumn="0" w:noHBand="0" w:noVBand="1"/>
            </w:tblPr>
            <w:tblGrid>
              <w:gridCol w:w="3510"/>
              <w:gridCol w:w="1234"/>
              <w:gridCol w:w="4182"/>
            </w:tblGrid>
            <w:tr w:rsidR="006C2BB6" w:rsidRPr="00681E9F" w14:paraId="296BEE44" w14:textId="77777777" w:rsidTr="00681E9F">
              <w:trPr>
                <w:trHeight w:val="360"/>
              </w:trPr>
              <w:tc>
                <w:tcPr>
                  <w:tcW w:w="3510" w:type="dxa"/>
                  <w:shd w:val="clear" w:color="auto" w:fill="D9D9D9" w:themeFill="background1" w:themeFillShade="D9"/>
                </w:tcPr>
                <w:p w14:paraId="2740C2D7" w14:textId="77777777" w:rsidR="006C2BB6" w:rsidRPr="00681E9F" w:rsidRDefault="006C2BB6" w:rsidP="006C2BB6">
                  <w:pPr>
                    <w:spacing w:after="160" w:line="259" w:lineRule="auto"/>
                    <w:jc w:val="center"/>
                    <w:rPr>
                      <w:b/>
                      <w:sz w:val="24"/>
                      <w:szCs w:val="24"/>
                      <w:lang w:val="nl-NL"/>
                    </w:rPr>
                  </w:pPr>
                  <w:r w:rsidRPr="00681E9F">
                    <w:rPr>
                      <w:b/>
                      <w:sz w:val="24"/>
                      <w:szCs w:val="24"/>
                      <w:lang w:val="nl-NL"/>
                    </w:rPr>
                    <w:t xml:space="preserve">DOCUMENTEN </w:t>
                  </w:r>
                </w:p>
              </w:tc>
              <w:tc>
                <w:tcPr>
                  <w:tcW w:w="1234" w:type="dxa"/>
                  <w:shd w:val="clear" w:color="auto" w:fill="D9D9D9" w:themeFill="background1" w:themeFillShade="D9"/>
                </w:tcPr>
                <w:p w14:paraId="7A7F66C7" w14:textId="77777777" w:rsidR="006C2BB6" w:rsidRPr="00681E9F" w:rsidRDefault="006C2BB6" w:rsidP="006C2BB6">
                  <w:pPr>
                    <w:spacing w:after="160" w:line="259" w:lineRule="auto"/>
                    <w:jc w:val="center"/>
                    <w:rPr>
                      <w:b/>
                      <w:sz w:val="24"/>
                      <w:szCs w:val="24"/>
                      <w:lang w:val="nl-NL"/>
                    </w:rPr>
                  </w:pPr>
                  <w:r w:rsidRPr="00681E9F">
                    <w:rPr>
                      <w:b/>
                      <w:sz w:val="24"/>
                      <w:szCs w:val="24"/>
                      <w:lang w:val="nl-NL"/>
                    </w:rPr>
                    <w:t>TERMIJN</w:t>
                  </w:r>
                </w:p>
              </w:tc>
              <w:tc>
                <w:tcPr>
                  <w:tcW w:w="4182" w:type="dxa"/>
                  <w:shd w:val="clear" w:color="auto" w:fill="D9D9D9" w:themeFill="background1" w:themeFillShade="D9"/>
                </w:tcPr>
                <w:p w14:paraId="0496D4BC" w14:textId="77777777" w:rsidR="006C2BB6" w:rsidRPr="00681E9F" w:rsidRDefault="006C2BB6" w:rsidP="006C2BB6">
                  <w:pPr>
                    <w:spacing w:after="160" w:line="259" w:lineRule="auto"/>
                    <w:jc w:val="center"/>
                    <w:rPr>
                      <w:b/>
                      <w:sz w:val="24"/>
                      <w:szCs w:val="24"/>
                      <w:lang w:val="nl-NL"/>
                    </w:rPr>
                  </w:pPr>
                  <w:r w:rsidRPr="00681E9F">
                    <w:rPr>
                      <w:b/>
                      <w:sz w:val="24"/>
                      <w:szCs w:val="24"/>
                      <w:lang w:val="nl-NL"/>
                    </w:rPr>
                    <w:t xml:space="preserve">STARTPUNT VAN DE TERMIJN </w:t>
                  </w:r>
                </w:p>
              </w:tc>
            </w:tr>
            <w:tr w:rsidR="006C2BB6" w:rsidRPr="007953A5" w14:paraId="65C3B501" w14:textId="77777777" w:rsidTr="00681E9F">
              <w:tc>
                <w:tcPr>
                  <w:tcW w:w="3510" w:type="dxa"/>
                </w:tcPr>
                <w:p w14:paraId="2CA0627F" w14:textId="77777777" w:rsidR="006C2BB6" w:rsidRPr="00681E9F" w:rsidRDefault="006C2BB6" w:rsidP="006C2BB6">
                  <w:pPr>
                    <w:spacing w:after="160" w:line="259" w:lineRule="auto"/>
                    <w:jc w:val="center"/>
                    <w:rPr>
                      <w:sz w:val="24"/>
                      <w:szCs w:val="24"/>
                      <w:lang w:val="nl-NL"/>
                    </w:rPr>
                  </w:pPr>
                  <w:r w:rsidRPr="00681E9F">
                    <w:rPr>
                      <w:sz w:val="24"/>
                      <w:szCs w:val="24"/>
                      <w:lang w:val="nl-NL"/>
                    </w:rPr>
                    <w:t>Indiening van de nota waarin aanvullende studies worden gevraagd</w:t>
                  </w:r>
                </w:p>
              </w:tc>
              <w:tc>
                <w:tcPr>
                  <w:tcW w:w="1234" w:type="dxa"/>
                </w:tcPr>
                <w:p w14:paraId="1FEF7A08" w14:textId="77777777" w:rsidR="006C2BB6" w:rsidRPr="00681E9F" w:rsidRDefault="006C2BB6" w:rsidP="006C2BB6">
                  <w:pPr>
                    <w:spacing w:after="160" w:line="259" w:lineRule="auto"/>
                    <w:jc w:val="center"/>
                    <w:rPr>
                      <w:b/>
                      <w:i/>
                      <w:sz w:val="24"/>
                      <w:szCs w:val="24"/>
                      <w:lang w:val="nl-NL"/>
                    </w:rPr>
                  </w:pPr>
                  <w:r w:rsidRPr="00681E9F">
                    <w:rPr>
                      <w:sz w:val="24"/>
                      <w:szCs w:val="24"/>
                      <w:lang w:val="nl-NL"/>
                    </w:rPr>
                    <w:t>15 KD</w:t>
                  </w:r>
                </w:p>
              </w:tc>
              <w:tc>
                <w:tcPr>
                  <w:tcW w:w="4182" w:type="dxa"/>
                </w:tcPr>
                <w:p w14:paraId="41293ADB" w14:textId="77777777" w:rsidR="006C2BB6" w:rsidRPr="00681E9F" w:rsidRDefault="006C2BB6" w:rsidP="006C2BB6">
                  <w:pPr>
                    <w:spacing w:after="160" w:line="259" w:lineRule="auto"/>
                    <w:jc w:val="center"/>
                    <w:rPr>
                      <w:sz w:val="24"/>
                      <w:szCs w:val="24"/>
                      <w:lang w:val="nl-NL"/>
                    </w:rPr>
                  </w:pPr>
                  <w:r w:rsidRPr="00681E9F">
                    <w:rPr>
                      <w:sz w:val="24"/>
                      <w:szCs w:val="24"/>
                      <w:lang w:val="nl-NL"/>
                    </w:rPr>
                    <w:t>Vanaf het moment waarop de eerste coördinatievergadering plaatsvindt</w:t>
                  </w:r>
                </w:p>
              </w:tc>
            </w:tr>
          </w:tbl>
          <w:p w14:paraId="72D11C36" w14:textId="77777777" w:rsidR="006C2BB6" w:rsidRDefault="006C2BB6" w:rsidP="006C2BB6">
            <w:pPr>
              <w:jc w:val="both"/>
              <w:rPr>
                <w:lang w:val="nl-NL"/>
              </w:rPr>
            </w:pPr>
          </w:p>
          <w:p w14:paraId="7DD5CFB9" w14:textId="77777777" w:rsidR="006C2BB6" w:rsidRDefault="006C2BB6" w:rsidP="006C2BB6">
            <w:pPr>
              <w:jc w:val="both"/>
              <w:rPr>
                <w:lang w:val="nl-NL"/>
              </w:rPr>
            </w:pPr>
          </w:p>
          <w:p w14:paraId="7ABD560E" w14:textId="311739DD" w:rsidR="006C2BB6" w:rsidRDefault="006C2BB6" w:rsidP="006C2BB6">
            <w:pPr>
              <w:jc w:val="both"/>
              <w:rPr>
                <w:b/>
                <w:bCs/>
                <w:lang w:val="nl-NL"/>
              </w:rPr>
            </w:pPr>
            <w:r w:rsidRPr="007953A5">
              <w:rPr>
                <w:b/>
                <w:bCs/>
                <w:lang w:val="nl-NL"/>
              </w:rPr>
              <w:t>Wijziging:</w:t>
            </w:r>
          </w:p>
          <w:p w14:paraId="0DAC289E" w14:textId="77777777" w:rsidR="006C2BB6" w:rsidRPr="007953A5" w:rsidRDefault="006C2BB6" w:rsidP="006C2BB6">
            <w:pPr>
              <w:jc w:val="both"/>
              <w:rPr>
                <w:b/>
                <w:bCs/>
                <w:lang w:val="nl-NL"/>
              </w:rPr>
            </w:pPr>
          </w:p>
          <w:tbl>
            <w:tblPr>
              <w:tblStyle w:val="Grilledutableau"/>
              <w:tblpPr w:leftFromText="141" w:rightFromText="141" w:vertAnchor="text" w:horzAnchor="margin" w:tblpY="91"/>
              <w:tblW w:w="8784" w:type="dxa"/>
              <w:tblLook w:val="04A0" w:firstRow="1" w:lastRow="0" w:firstColumn="1" w:lastColumn="0" w:noHBand="0" w:noVBand="1"/>
            </w:tblPr>
            <w:tblGrid>
              <w:gridCol w:w="3510"/>
              <w:gridCol w:w="1234"/>
              <w:gridCol w:w="4040"/>
            </w:tblGrid>
            <w:tr w:rsidR="006C2BB6" w:rsidRPr="007953A5" w14:paraId="3F471561" w14:textId="77777777" w:rsidTr="007953A5">
              <w:trPr>
                <w:trHeight w:val="360"/>
              </w:trPr>
              <w:tc>
                <w:tcPr>
                  <w:tcW w:w="3510" w:type="dxa"/>
                  <w:shd w:val="clear" w:color="auto" w:fill="D9D9D9" w:themeFill="background1" w:themeFillShade="D9"/>
                </w:tcPr>
                <w:p w14:paraId="1021AAD0" w14:textId="77777777" w:rsidR="006C2BB6" w:rsidRPr="007953A5" w:rsidRDefault="006C2BB6" w:rsidP="006C2BB6">
                  <w:pPr>
                    <w:spacing w:after="160" w:line="259" w:lineRule="auto"/>
                    <w:jc w:val="center"/>
                    <w:rPr>
                      <w:b/>
                      <w:sz w:val="24"/>
                      <w:szCs w:val="24"/>
                      <w:lang w:val="nl-NL"/>
                    </w:rPr>
                  </w:pPr>
                  <w:r w:rsidRPr="007953A5">
                    <w:rPr>
                      <w:b/>
                      <w:sz w:val="24"/>
                      <w:szCs w:val="24"/>
                      <w:lang w:val="nl-NL"/>
                    </w:rPr>
                    <w:t xml:space="preserve">DOCUMENTEN </w:t>
                  </w:r>
                </w:p>
              </w:tc>
              <w:tc>
                <w:tcPr>
                  <w:tcW w:w="1234" w:type="dxa"/>
                  <w:shd w:val="clear" w:color="auto" w:fill="D9D9D9" w:themeFill="background1" w:themeFillShade="D9"/>
                </w:tcPr>
                <w:p w14:paraId="76A2A83A" w14:textId="77777777" w:rsidR="006C2BB6" w:rsidRPr="007953A5" w:rsidRDefault="006C2BB6" w:rsidP="006C2BB6">
                  <w:pPr>
                    <w:spacing w:after="160" w:line="259" w:lineRule="auto"/>
                    <w:jc w:val="center"/>
                    <w:rPr>
                      <w:b/>
                      <w:sz w:val="24"/>
                      <w:szCs w:val="24"/>
                      <w:lang w:val="nl-NL"/>
                    </w:rPr>
                  </w:pPr>
                  <w:r w:rsidRPr="007953A5">
                    <w:rPr>
                      <w:b/>
                      <w:sz w:val="24"/>
                      <w:szCs w:val="24"/>
                      <w:lang w:val="nl-NL"/>
                    </w:rPr>
                    <w:t>TERMIJN</w:t>
                  </w:r>
                </w:p>
              </w:tc>
              <w:tc>
                <w:tcPr>
                  <w:tcW w:w="4040" w:type="dxa"/>
                  <w:shd w:val="clear" w:color="auto" w:fill="D9D9D9" w:themeFill="background1" w:themeFillShade="D9"/>
                </w:tcPr>
                <w:p w14:paraId="591CC1E3" w14:textId="77777777" w:rsidR="006C2BB6" w:rsidRPr="007953A5" w:rsidRDefault="006C2BB6" w:rsidP="006C2BB6">
                  <w:pPr>
                    <w:spacing w:after="160" w:line="259" w:lineRule="auto"/>
                    <w:jc w:val="center"/>
                    <w:rPr>
                      <w:b/>
                      <w:sz w:val="24"/>
                      <w:szCs w:val="24"/>
                      <w:lang w:val="nl-NL"/>
                    </w:rPr>
                  </w:pPr>
                  <w:r w:rsidRPr="007953A5">
                    <w:rPr>
                      <w:b/>
                      <w:sz w:val="24"/>
                      <w:szCs w:val="24"/>
                      <w:lang w:val="nl-NL"/>
                    </w:rPr>
                    <w:t xml:space="preserve">STARTPUNT VAN DE TERMIJN </w:t>
                  </w:r>
                </w:p>
              </w:tc>
            </w:tr>
            <w:tr w:rsidR="006C2BB6" w:rsidRPr="007953A5" w14:paraId="3BC89FCA" w14:textId="77777777" w:rsidTr="007953A5">
              <w:trPr>
                <w:trHeight w:val="70"/>
              </w:trPr>
              <w:tc>
                <w:tcPr>
                  <w:tcW w:w="3510" w:type="dxa"/>
                </w:tcPr>
                <w:p w14:paraId="250C0401" w14:textId="77777777" w:rsidR="006C2BB6" w:rsidRPr="007953A5" w:rsidRDefault="006C2BB6" w:rsidP="006C2BB6">
                  <w:pPr>
                    <w:spacing w:after="160" w:line="259" w:lineRule="auto"/>
                    <w:jc w:val="center"/>
                    <w:rPr>
                      <w:sz w:val="24"/>
                      <w:szCs w:val="24"/>
                      <w:lang w:val="nl-NL"/>
                    </w:rPr>
                  </w:pPr>
                  <w:r w:rsidRPr="007953A5">
                    <w:rPr>
                      <w:sz w:val="24"/>
                      <w:szCs w:val="24"/>
                      <w:lang w:val="nl-NL"/>
                    </w:rPr>
                    <w:t>Definitieve schets</w:t>
                  </w:r>
                </w:p>
              </w:tc>
              <w:tc>
                <w:tcPr>
                  <w:tcW w:w="1234" w:type="dxa"/>
                </w:tcPr>
                <w:p w14:paraId="59026511" w14:textId="77777777" w:rsidR="006C2BB6" w:rsidRPr="007953A5" w:rsidRDefault="006C2BB6" w:rsidP="006C2BB6">
                  <w:pPr>
                    <w:spacing w:after="160" w:line="259" w:lineRule="auto"/>
                    <w:jc w:val="center"/>
                    <w:rPr>
                      <w:sz w:val="24"/>
                      <w:szCs w:val="24"/>
                      <w:lang w:val="nl-NL"/>
                    </w:rPr>
                  </w:pPr>
                  <w:r w:rsidRPr="007953A5">
                    <w:rPr>
                      <w:b/>
                      <w:i/>
                      <w:sz w:val="24"/>
                      <w:szCs w:val="24"/>
                      <w:lang w:val="nl-NL"/>
                    </w:rPr>
                    <w:t xml:space="preserve">[60] </w:t>
                  </w:r>
                  <w:r w:rsidRPr="007953A5">
                    <w:rPr>
                      <w:sz w:val="24"/>
                      <w:szCs w:val="24"/>
                      <w:lang w:val="nl-NL"/>
                    </w:rPr>
                    <w:t>KD</w:t>
                  </w:r>
                </w:p>
              </w:tc>
              <w:tc>
                <w:tcPr>
                  <w:tcW w:w="4040" w:type="dxa"/>
                </w:tcPr>
                <w:p w14:paraId="1CA14F35" w14:textId="1B483498" w:rsidR="006C2BB6" w:rsidRDefault="006C2BB6" w:rsidP="006C2BB6">
                  <w:pPr>
                    <w:spacing w:after="160" w:line="259" w:lineRule="auto"/>
                    <w:jc w:val="center"/>
                    <w:rPr>
                      <w:sz w:val="24"/>
                      <w:szCs w:val="24"/>
                      <w:lang w:val="nl-NL"/>
                    </w:rPr>
                  </w:pPr>
                  <w:r>
                    <w:rPr>
                      <w:sz w:val="24"/>
                      <w:szCs w:val="24"/>
                      <w:lang w:val="nl-NL"/>
                    </w:rPr>
                    <w:t>“</w:t>
                  </w:r>
                  <w:r w:rsidRPr="007953A5">
                    <w:rPr>
                      <w:sz w:val="24"/>
                      <w:szCs w:val="24"/>
                      <w:lang w:val="nl-NL"/>
                    </w:rPr>
                    <w:t>Vanaf de verzending van de bestelbrief door de aanbesteder (in voorkomend geval met de goedkeuring van de BGHM).</w:t>
                  </w:r>
                  <w:r>
                    <w:rPr>
                      <w:sz w:val="24"/>
                      <w:szCs w:val="24"/>
                      <w:lang w:val="nl-NL"/>
                    </w:rPr>
                    <w:t>”</w:t>
                  </w:r>
                </w:p>
                <w:p w14:paraId="071C9A0A" w14:textId="77777777" w:rsidR="006C2BB6" w:rsidRDefault="006C2BB6" w:rsidP="006C2BB6">
                  <w:pPr>
                    <w:spacing w:after="160" w:line="259" w:lineRule="auto"/>
                    <w:rPr>
                      <w:sz w:val="24"/>
                      <w:szCs w:val="24"/>
                      <w:lang w:val="nl-NL"/>
                    </w:rPr>
                  </w:pPr>
                </w:p>
                <w:p w14:paraId="6B2DE681" w14:textId="77777777" w:rsidR="006C2BB6" w:rsidRDefault="006C2BB6" w:rsidP="006C2BB6">
                  <w:pPr>
                    <w:spacing w:after="160" w:line="259" w:lineRule="auto"/>
                    <w:rPr>
                      <w:b/>
                      <w:bCs/>
                      <w:sz w:val="24"/>
                      <w:szCs w:val="24"/>
                      <w:lang w:val="nl-NL"/>
                    </w:rPr>
                  </w:pPr>
                  <w:r w:rsidRPr="007953A5">
                    <w:rPr>
                      <w:b/>
                      <w:bCs/>
                      <w:sz w:val="24"/>
                      <w:szCs w:val="24"/>
                      <w:lang w:val="nl-NL"/>
                    </w:rPr>
                    <w:t xml:space="preserve">Vervangen door : </w:t>
                  </w:r>
                </w:p>
                <w:p w14:paraId="42B71344" w14:textId="4A8595A4" w:rsidR="006C2BB6" w:rsidRPr="007953A5" w:rsidRDefault="006C2BB6" w:rsidP="006C2BB6">
                  <w:pPr>
                    <w:spacing w:after="160" w:line="259" w:lineRule="auto"/>
                    <w:jc w:val="center"/>
                    <w:rPr>
                      <w:b/>
                      <w:bCs/>
                      <w:sz w:val="24"/>
                      <w:szCs w:val="24"/>
                      <w:lang w:val="nl-NL"/>
                    </w:rPr>
                  </w:pPr>
                  <w:r>
                    <w:rPr>
                      <w:b/>
                      <w:bCs/>
                      <w:sz w:val="24"/>
                      <w:szCs w:val="24"/>
                      <w:lang w:val="nl-NL"/>
                    </w:rPr>
                    <w:t>“</w:t>
                  </w:r>
                  <w:r w:rsidRPr="00DD7BF4">
                    <w:rPr>
                      <w:lang w:val="nl-NL"/>
                    </w:rPr>
                    <w:t xml:space="preserve">Vanaf de verkrijging van de aanvullende documenten die </w:t>
                  </w:r>
                  <w:proofErr w:type="spellStart"/>
                  <w:r w:rsidRPr="00DD7BF4">
                    <w:rPr>
                      <w:lang w:val="nl-NL"/>
                    </w:rPr>
                    <w:t>opgelijst</w:t>
                  </w:r>
                  <w:proofErr w:type="spellEnd"/>
                  <w:r w:rsidRPr="00DD7BF4">
                    <w:rPr>
                      <w:lang w:val="nl-NL"/>
                    </w:rPr>
                    <w:t xml:space="preserve"> zijn door de ontwerper en goedgekeurd zijn door de OVM (in voorkomend geval met goedkeuring door de BGHM).</w:t>
                  </w:r>
                  <w:r>
                    <w:rPr>
                      <w:lang w:val="nl-NL"/>
                    </w:rPr>
                    <w:t>”</w:t>
                  </w:r>
                </w:p>
                <w:p w14:paraId="4BEC1AB0" w14:textId="77777777" w:rsidR="006C2BB6" w:rsidRPr="007953A5" w:rsidRDefault="006C2BB6" w:rsidP="006C2BB6">
                  <w:pPr>
                    <w:spacing w:after="160" w:line="259" w:lineRule="auto"/>
                    <w:jc w:val="center"/>
                    <w:rPr>
                      <w:sz w:val="24"/>
                      <w:szCs w:val="24"/>
                      <w:lang w:val="nl-NL"/>
                    </w:rPr>
                  </w:pPr>
                </w:p>
              </w:tc>
            </w:tr>
          </w:tbl>
          <w:p w14:paraId="52A7A28F" w14:textId="51D6E7C4" w:rsidR="006C2BB6" w:rsidRPr="006C1B11" w:rsidRDefault="006C2BB6" w:rsidP="006C2BB6">
            <w:pPr>
              <w:jc w:val="both"/>
              <w:rPr>
                <w:color w:val="FFFFFF" w:themeColor="background1"/>
                <w:lang w:val="nl-NL"/>
              </w:rPr>
            </w:pPr>
          </w:p>
        </w:tc>
      </w:tr>
      <w:tr w:rsidR="006C2BB6" w:rsidRPr="00B34E12" w14:paraId="7D8DD5B2" w14:textId="77777777" w:rsidTr="006C2BB6">
        <w:trPr>
          <w:trHeight w:val="851"/>
        </w:trPr>
        <w:tc>
          <w:tcPr>
            <w:tcW w:w="4507" w:type="dxa"/>
            <w:gridSpan w:val="2"/>
            <w:shd w:val="clear" w:color="auto" w:fill="00A4B7"/>
            <w:vAlign w:val="center"/>
          </w:tcPr>
          <w:p w14:paraId="20CBDD02" w14:textId="567D6631" w:rsidR="006C2BB6" w:rsidRPr="00826657" w:rsidRDefault="006C2BB6" w:rsidP="006C2BB6">
            <w:pPr>
              <w:spacing w:after="120"/>
              <w:ind w:left="720"/>
              <w:rPr>
                <w:rFonts w:eastAsia="Times New Roman" w:cs="Arial"/>
                <w:color w:val="FFFFFF" w:themeColor="background1"/>
                <w:lang w:eastAsia="fr-FR"/>
              </w:rPr>
            </w:pPr>
            <w:r w:rsidRPr="00826657">
              <w:rPr>
                <w:rFonts w:eastAsia="Times New Roman" w:cs="Arial"/>
                <w:color w:val="FFFFFF" w:themeColor="background1"/>
                <w:lang w:eastAsia="fr-FR"/>
              </w:rPr>
              <w:t>PARTIE 4 : EXECUTION DU MARCHE - Clauses techniques</w:t>
            </w:r>
            <w:r w:rsidRPr="00826657">
              <w:rPr>
                <w:rFonts w:eastAsia="Times New Roman" w:cs="Arial"/>
                <w:color w:val="FFFFFF" w:themeColor="background1"/>
                <w:lang w:eastAsia="fr-FR"/>
              </w:rPr>
              <w:t xml:space="preserve">, </w:t>
            </w:r>
            <w:r w:rsidRPr="00826657">
              <w:rPr>
                <w:rFonts w:eastAsia="Times New Roman" w:cs="Arial"/>
                <w:color w:val="FFFFFF" w:themeColor="background1"/>
                <w:lang w:eastAsia="fr-FR"/>
              </w:rPr>
              <w:t>4/ Etapes du marché</w:t>
            </w:r>
            <w:r w:rsidRPr="00826657">
              <w:rPr>
                <w:rFonts w:eastAsia="Times New Roman" w:cs="Arial"/>
                <w:color w:val="FFFFFF" w:themeColor="background1"/>
                <w:lang w:eastAsia="fr-FR"/>
              </w:rPr>
              <w:t xml:space="preserve">, </w:t>
            </w:r>
            <w:r w:rsidRPr="00826657">
              <w:rPr>
                <w:rFonts w:eastAsia="Times New Roman" w:cs="Arial"/>
                <w:color w:val="FFFFFF" w:themeColor="background1"/>
                <w:lang w:eastAsia="fr-FR"/>
              </w:rPr>
              <w:t>4.1/ Première réunion de coordination</w:t>
            </w:r>
            <w:r>
              <w:rPr>
                <w:rFonts w:eastAsia="Times New Roman" w:cs="Arial"/>
                <w:color w:val="FFFFFF" w:themeColor="background1"/>
                <w:lang w:eastAsia="fr-FR"/>
              </w:rPr>
              <w:t xml:space="preserve"> (page 46)</w:t>
            </w:r>
          </w:p>
        </w:tc>
        <w:tc>
          <w:tcPr>
            <w:tcW w:w="4555" w:type="dxa"/>
            <w:shd w:val="clear" w:color="auto" w:fill="00A4B7"/>
            <w:vAlign w:val="center"/>
          </w:tcPr>
          <w:p w14:paraId="68B8331D" w14:textId="108C065B" w:rsidR="006C2BB6" w:rsidRPr="00826657" w:rsidRDefault="006C2BB6" w:rsidP="006C2BB6">
            <w:pPr>
              <w:spacing w:after="120"/>
              <w:ind w:left="720"/>
              <w:rPr>
                <w:rFonts w:eastAsia="Times New Roman" w:cs="Arial"/>
                <w:color w:val="FFFFFF" w:themeColor="background1"/>
                <w:lang w:val="nl-NL" w:eastAsia="fr-FR"/>
              </w:rPr>
            </w:pPr>
            <w:r w:rsidRPr="00826657">
              <w:rPr>
                <w:rFonts w:eastAsia="Times New Roman" w:cs="Arial"/>
                <w:color w:val="FFFFFF" w:themeColor="background1"/>
                <w:lang w:val="nl-NL" w:eastAsia="fr-FR"/>
              </w:rPr>
              <w:t>DEEL 4: UITVOERING VAN DE OPDRACHT - Technische bepalingen</w:t>
            </w:r>
            <w:r w:rsidRPr="00826657">
              <w:rPr>
                <w:rFonts w:eastAsia="Times New Roman" w:cs="Arial"/>
                <w:color w:val="FFFFFF" w:themeColor="background1"/>
                <w:lang w:val="nl-NL" w:eastAsia="fr-FR"/>
              </w:rPr>
              <w:t xml:space="preserve">, </w:t>
            </w:r>
            <w:r w:rsidRPr="00826657">
              <w:rPr>
                <w:rFonts w:eastAsia="Times New Roman" w:cs="Arial"/>
                <w:color w:val="FFFFFF" w:themeColor="background1"/>
                <w:lang w:val="nl-NL" w:eastAsia="fr-FR"/>
              </w:rPr>
              <w:t>4/ Fasen van de opdracht</w:t>
            </w:r>
            <w:r w:rsidRPr="00826657">
              <w:rPr>
                <w:rFonts w:eastAsia="Times New Roman" w:cs="Arial"/>
                <w:color w:val="FFFFFF" w:themeColor="background1"/>
                <w:lang w:val="nl-NL" w:eastAsia="fr-FR"/>
              </w:rPr>
              <w:t xml:space="preserve">, </w:t>
            </w:r>
            <w:r w:rsidRPr="00826657">
              <w:rPr>
                <w:rFonts w:eastAsia="Times New Roman" w:cs="Arial"/>
                <w:color w:val="FFFFFF" w:themeColor="background1"/>
                <w:lang w:val="nl-NL" w:eastAsia="fr-FR"/>
              </w:rPr>
              <w:t>4.1/ Eerste coördinatievergadering</w:t>
            </w:r>
            <w:r w:rsidRPr="00826657">
              <w:rPr>
                <w:rFonts w:eastAsia="Times New Roman" w:cs="Arial"/>
                <w:color w:val="FFFFFF" w:themeColor="background1"/>
                <w:lang w:val="nl-NL" w:eastAsia="fr-FR"/>
              </w:rPr>
              <w:t xml:space="preserve"> (</w:t>
            </w:r>
            <w:r>
              <w:rPr>
                <w:rFonts w:eastAsia="Times New Roman" w:cs="Arial"/>
                <w:color w:val="FFFFFF" w:themeColor="background1"/>
                <w:lang w:val="nl-NL" w:eastAsia="fr-FR"/>
              </w:rPr>
              <w:t>pagina 51)</w:t>
            </w:r>
          </w:p>
        </w:tc>
      </w:tr>
      <w:tr w:rsidR="006C2BB6" w:rsidRPr="00B34E12" w14:paraId="64092145" w14:textId="77777777" w:rsidTr="006C2BB6">
        <w:trPr>
          <w:trHeight w:val="851"/>
        </w:trPr>
        <w:tc>
          <w:tcPr>
            <w:tcW w:w="4507" w:type="dxa"/>
            <w:gridSpan w:val="2"/>
            <w:shd w:val="clear" w:color="auto" w:fill="auto"/>
            <w:vAlign w:val="center"/>
          </w:tcPr>
          <w:p w14:paraId="155766E1" w14:textId="2C05CBEB" w:rsidR="006C2BB6" w:rsidRDefault="006C2BB6" w:rsidP="006C2BB6">
            <w:pPr>
              <w:spacing w:after="0" w:line="240" w:lineRule="auto"/>
              <w:jc w:val="both"/>
            </w:pPr>
            <w:r>
              <w:t xml:space="preserve">«  </w:t>
            </w:r>
            <w:r>
              <w:t>Lors de l’envoi de la lettre de commande, l’adjudicateur invitera l’adjudicataire à une première réunion de coordination qui se tiendra dans les bureaux de la SISP. Lors de cette rencontre, l’adjudicateur lui remet tous les documents et éléments en sa possession qui peuvent servir de base à l’élaboration du projet. Il lui fait part de toutes les remarques concernant son offre et de toutes ses attentes.</w:t>
            </w:r>
          </w:p>
          <w:p w14:paraId="5512898C" w14:textId="43D29A50" w:rsidR="006C2BB6" w:rsidRDefault="006C2BB6" w:rsidP="006C2BB6">
            <w:pPr>
              <w:spacing w:after="0" w:line="240" w:lineRule="auto"/>
              <w:jc w:val="both"/>
            </w:pPr>
            <w:r>
              <w:t>Dans les [45] jours calendrier à compter de la réception de la lettre de commande, l’auteur de projet visite l’intégralité des lieux et/ou des bâtiments faisant l’objet de l’étude et invite tous les intervenants ainsi que l’adjudicateur à une première réunion de coordination. Lors de cette rencontre, l’adjudicateur lui remet tous les documents et éléments en sa possession qui peuvent servir de base à l’élaboration du projet. Il lui fait part de toutes les remarques concernant son offre et de toutes ses attentes.</w:t>
            </w:r>
          </w:p>
          <w:p w14:paraId="4333A876" w14:textId="06486B69" w:rsidR="006C2BB6" w:rsidRDefault="006C2BB6" w:rsidP="006C2BB6">
            <w:pPr>
              <w:jc w:val="both"/>
            </w:pPr>
            <w:r>
              <w:t>Dans les 10 jours après cette rencontre l’auteur de projet envoie une note sur la qualité des documents relatifs au projet en sa possession. Cette note comprend une liste des relevés, sondages,  inventaires, états des lieux et diagnostiques complémentaires nécessaires pour réaliser la suite de la mission.</w:t>
            </w:r>
            <w:r>
              <w:t> »</w:t>
            </w:r>
          </w:p>
          <w:p w14:paraId="425AEAA1" w14:textId="77777777" w:rsidR="006C2BB6" w:rsidRDefault="006C2BB6" w:rsidP="006C2BB6">
            <w:pPr>
              <w:jc w:val="both"/>
            </w:pPr>
          </w:p>
          <w:p w14:paraId="6819C0D8" w14:textId="77777777" w:rsidR="006C2BB6" w:rsidRDefault="006C2BB6" w:rsidP="006C2BB6">
            <w:pPr>
              <w:spacing w:after="60"/>
              <w:jc w:val="both"/>
              <w:rPr>
                <w:rFonts w:eastAsia="Times New Roman" w:cs="Arial"/>
                <w:b/>
                <w:bCs/>
                <w:lang w:eastAsia="fr-FR"/>
              </w:rPr>
            </w:pPr>
            <w:r w:rsidRPr="00514C97">
              <w:rPr>
                <w:rFonts w:eastAsia="Times New Roman" w:cs="Arial"/>
                <w:b/>
                <w:bCs/>
                <w:lang w:eastAsia="fr-FR"/>
              </w:rPr>
              <w:t>Est remplacé par :</w:t>
            </w:r>
          </w:p>
          <w:p w14:paraId="69A2865A" w14:textId="77777777" w:rsidR="006C2BB6" w:rsidRDefault="006C2BB6" w:rsidP="006C2BB6">
            <w:pPr>
              <w:jc w:val="both"/>
            </w:pPr>
          </w:p>
          <w:p w14:paraId="735C4C42" w14:textId="40C750F2" w:rsidR="006C2BB6" w:rsidRDefault="006C2BB6" w:rsidP="006C2BB6">
            <w:pPr>
              <w:spacing w:after="0" w:line="240" w:lineRule="auto"/>
              <w:jc w:val="both"/>
            </w:pPr>
            <w:r>
              <w:t xml:space="preserve">«  </w:t>
            </w:r>
            <w:r>
              <w:t>Lors de l’envoi de la lettre de commande, l’adjudicateur invitera l’adjudicataire à une première réunion de coordination qui se tiendra dans les bureaux de la SISP dans les 15 jours calendrier à compter de la réception de la lettre de commande. Lors de cette rencontre, l’adjudicateur lui remet tous les documents et éléments en sa possession qui peuvent servir de base à l’élaboration du projet. Il lui fait part de toutes les remarques concernant son offre et de toutes ses attentes.</w:t>
            </w:r>
          </w:p>
          <w:p w14:paraId="36E670AB" w14:textId="77777777" w:rsidR="006C2BB6" w:rsidRDefault="006C2BB6" w:rsidP="006C2BB6">
            <w:pPr>
              <w:spacing w:after="0" w:line="240" w:lineRule="auto"/>
              <w:jc w:val="both"/>
            </w:pPr>
            <w:r>
              <w:t>Également dans les [15] jours calendrier à compter de la réception de la lettre de commande, l’auteur de projet visite l’intégralité des lieux et/ou des bâtiments faisant l’objet de l’étude et invite tous les intervenants ainsi que l’adjudicateur à une première réunion de coordination. Lors de cette rencontre, l’adjudicateur lui remet tous les documents et éléments en sa possession qui peuvent servir de base à l’élaboration du projet. Il lui fait part de toutes les remarques concernant son offre et de toutes ses attentes.</w:t>
            </w:r>
          </w:p>
          <w:p w14:paraId="417D3127" w14:textId="77777777" w:rsidR="006C2BB6" w:rsidRDefault="006C2BB6" w:rsidP="006C2BB6">
            <w:pPr>
              <w:spacing w:after="0" w:line="240" w:lineRule="auto"/>
              <w:jc w:val="both"/>
            </w:pPr>
            <w:r>
              <w:t>Dans les 15 jours après la première réunion de coordination, l’auteur de projet envoie une note sur la qualité des documents relatifs au projet en sa possession. Cette note comprend une liste des relevés, sondages,  inventaires, états des lieux et diagnostiques complémentaires nécessaires pour réaliser la suite de la mission.</w:t>
            </w:r>
          </w:p>
          <w:p w14:paraId="7AD3879F" w14:textId="77777777" w:rsidR="006C2BB6" w:rsidRDefault="006C2BB6" w:rsidP="006C2BB6">
            <w:pPr>
              <w:spacing w:after="0" w:line="240" w:lineRule="auto"/>
              <w:jc w:val="both"/>
            </w:pPr>
            <w:r>
              <w:t xml:space="preserve">L’auteur de projet aide et accompagne le maître d’ouvrage pour la passation des marchés permettant d’établir les documents nécessaires à la poursuite du projet.  </w:t>
            </w:r>
          </w:p>
          <w:p w14:paraId="71403E45" w14:textId="4306604D" w:rsidR="006C2BB6" w:rsidRDefault="006C2BB6" w:rsidP="006C2BB6">
            <w:pPr>
              <w:jc w:val="both"/>
            </w:pPr>
            <w:r>
              <w:t>L’auteur de projet assurera le suivi et l’interprétation des résultats issus de ces études complémentaires.  Ces derniers devront dans tous les cas être disponibles et envoyés à l’adjudicateur avant le dépôt de l’avant-projet.</w:t>
            </w:r>
            <w:r>
              <w:t> »</w:t>
            </w:r>
          </w:p>
          <w:p w14:paraId="46C00DC2" w14:textId="77777777" w:rsidR="006C2BB6" w:rsidRDefault="006C2BB6" w:rsidP="006C2BB6">
            <w:pPr>
              <w:spacing w:after="0" w:line="240" w:lineRule="auto"/>
              <w:jc w:val="both"/>
            </w:pPr>
          </w:p>
          <w:p w14:paraId="28F68613" w14:textId="2B2C1661" w:rsidR="006C2BB6" w:rsidRPr="007953A5" w:rsidRDefault="006C2BB6" w:rsidP="006C2BB6">
            <w:pPr>
              <w:jc w:val="both"/>
            </w:pPr>
          </w:p>
        </w:tc>
        <w:tc>
          <w:tcPr>
            <w:tcW w:w="4555" w:type="dxa"/>
            <w:shd w:val="clear" w:color="auto" w:fill="auto"/>
            <w:vAlign w:val="center"/>
          </w:tcPr>
          <w:p w14:paraId="13A4734F" w14:textId="6A200E87" w:rsidR="006C2BB6" w:rsidRPr="00B34E12" w:rsidRDefault="006C2BB6" w:rsidP="006C2BB6">
            <w:pPr>
              <w:spacing w:after="0" w:line="240" w:lineRule="auto"/>
              <w:jc w:val="both"/>
              <w:rPr>
                <w:lang w:val="nl-NL"/>
              </w:rPr>
            </w:pPr>
            <w:r w:rsidRPr="00B34E12">
              <w:rPr>
                <w:lang w:val="nl-NL"/>
              </w:rPr>
              <w:t xml:space="preserve">“ </w:t>
            </w:r>
            <w:r w:rsidRPr="00B34E12">
              <w:rPr>
                <w:lang w:val="nl-NL"/>
              </w:rPr>
              <w:t>Bij de verzending van de bestelbrief nodigt de aanbesteder de opdrachtnemer uit op een eerste coördinatievergadering die in de kantoren van de OVM zal plaatsvinden. Tijdens die ontmoeting overhandigt de aanbesteder hem alle in zijn bezit verkerende documenten en elementen die als basis kunnen dienen voor de uitwerking van het ontwerp. De aanbesteder deelt de opdrachtnemer al zijn opmerkingen over diens offerte mee en wijst hem op al zijn verwachtingen.</w:t>
            </w:r>
          </w:p>
          <w:p w14:paraId="26E84D21" w14:textId="77777777" w:rsidR="006C2BB6" w:rsidRPr="00B34E12" w:rsidRDefault="006C2BB6" w:rsidP="006C2BB6">
            <w:pPr>
              <w:spacing w:after="0" w:line="240" w:lineRule="auto"/>
              <w:jc w:val="both"/>
              <w:rPr>
                <w:lang w:val="nl-NL"/>
              </w:rPr>
            </w:pPr>
            <w:r w:rsidRPr="00B34E12">
              <w:rPr>
                <w:lang w:val="nl-NL"/>
              </w:rPr>
              <w:t>Binnen 45 kalenderdagen na ontvangst van de bestelbrief brengt de ontwerper een bezoek aan de volledige plaats en/of aan de gebouwen waarop de studie betrekking heeft en nodigt hij alle optredende partijen en de aanbesteder uit voor een eerste coördinatievergadering. Tijdens deze vergadering geeft de aanbesteder hem alle documenten en elementen die in zijn bezit zijn en die als basis kunnen dienen voor de uitwerking van het ontwerp. De aanbesteder zal alle opmerkingen over zijn offerte en al zijn verwachtingen kenbaar maken.</w:t>
            </w:r>
          </w:p>
          <w:p w14:paraId="38E3C401" w14:textId="77777777" w:rsidR="006C2BB6" w:rsidRPr="00B34E12" w:rsidRDefault="006C2BB6" w:rsidP="006C2BB6">
            <w:pPr>
              <w:spacing w:after="0" w:line="240" w:lineRule="auto"/>
              <w:jc w:val="both"/>
              <w:rPr>
                <w:lang w:val="nl-NL"/>
              </w:rPr>
            </w:pPr>
            <w:r w:rsidRPr="00B34E12">
              <w:rPr>
                <w:lang w:val="nl-NL"/>
              </w:rPr>
              <w:t>Binnen 10 dagen na deze bijeenkomst stuurt de ontwerper een nota over de kwaliteit van de ontwerpdocumenten die in zijn bezit zijn. Deze nota bevat een lijst van onderzoeken, sonderingen, inventarissen, plaatsbeschrijvingen en aanvullende diagnoses die nodig zijn om de rest van de opdracht uit te voeren.</w:t>
            </w:r>
          </w:p>
          <w:p w14:paraId="72B050A4" w14:textId="77777777" w:rsidR="006C2BB6" w:rsidRDefault="006C2BB6" w:rsidP="006C2BB6">
            <w:pPr>
              <w:jc w:val="both"/>
              <w:rPr>
                <w:lang w:val="nl-NL"/>
              </w:rPr>
            </w:pPr>
            <w:r w:rsidRPr="00B34E12">
              <w:rPr>
                <w:lang w:val="nl-NL"/>
              </w:rPr>
              <w:t>De ontwerper assisteert en begeleidt de bouwheer bij de plaatsing van de opdrachten om de documenten op te stellen die nodig zijn voor de voortzetting van het project.</w:t>
            </w:r>
            <w:r w:rsidRPr="00B34E12">
              <w:rPr>
                <w:lang w:val="nl-NL"/>
              </w:rPr>
              <w:t>”</w:t>
            </w:r>
          </w:p>
          <w:p w14:paraId="6AD55493" w14:textId="77777777" w:rsidR="006C2BB6" w:rsidRDefault="006C2BB6" w:rsidP="006C2BB6">
            <w:pPr>
              <w:jc w:val="both"/>
              <w:rPr>
                <w:lang w:val="nl-NL"/>
              </w:rPr>
            </w:pPr>
          </w:p>
          <w:p w14:paraId="562057FE" w14:textId="77777777" w:rsidR="006C2BB6" w:rsidRPr="00B34E12" w:rsidRDefault="006C2BB6" w:rsidP="006C2BB6">
            <w:pPr>
              <w:spacing w:after="160" w:line="259" w:lineRule="auto"/>
              <w:rPr>
                <w:b/>
                <w:bCs/>
                <w:lang w:val="nl-NL"/>
              </w:rPr>
            </w:pPr>
            <w:r w:rsidRPr="007953A5">
              <w:rPr>
                <w:b/>
                <w:bCs/>
                <w:lang w:val="nl-NL"/>
              </w:rPr>
              <w:t xml:space="preserve">Vervangen door : </w:t>
            </w:r>
          </w:p>
          <w:p w14:paraId="21A871BE" w14:textId="77777777" w:rsidR="006C2BB6" w:rsidRDefault="006C2BB6" w:rsidP="006C2BB6">
            <w:pPr>
              <w:jc w:val="both"/>
              <w:rPr>
                <w:lang w:val="nl-NL"/>
              </w:rPr>
            </w:pPr>
          </w:p>
          <w:p w14:paraId="6BCCC44B" w14:textId="54C458F0" w:rsidR="006C2BB6" w:rsidRPr="00B34E12" w:rsidRDefault="006C2BB6" w:rsidP="006C2BB6">
            <w:pPr>
              <w:spacing w:after="0" w:line="240" w:lineRule="auto"/>
              <w:jc w:val="both"/>
              <w:rPr>
                <w:lang w:val="nl-NL"/>
              </w:rPr>
            </w:pPr>
            <w:r>
              <w:rPr>
                <w:lang w:val="nl-NL"/>
              </w:rPr>
              <w:t>“</w:t>
            </w:r>
            <w:r w:rsidRPr="00B34E12">
              <w:rPr>
                <w:lang w:val="nl-NL"/>
              </w:rPr>
              <w:t xml:space="preserve"> </w:t>
            </w:r>
            <w:r w:rsidRPr="00B34E12">
              <w:rPr>
                <w:lang w:val="nl-NL"/>
              </w:rPr>
              <w:t>Bij de verzending van de bestelbrief nodigt de aanbesteder de opdrachtnemer uit op een eerste coördinatievergadering die in de kantoren van de OVM zal plaatsvinden. Tijdens die ontmoeting overhandigt de aanbesteder hem alle in zijn bezit verkerende documenten en elementen die als basis kunnen dienen voor de uitwerking van het ontwerp. De aanbesteder deelt de opdrachtnemer al zijn opmerkingen over diens offerte mee en wijst hem op al zijn verwachtingen.</w:t>
            </w:r>
          </w:p>
          <w:p w14:paraId="29935A5F" w14:textId="77777777" w:rsidR="006C2BB6" w:rsidRPr="00B34E12" w:rsidRDefault="006C2BB6" w:rsidP="006C2BB6">
            <w:pPr>
              <w:spacing w:after="0" w:line="240" w:lineRule="auto"/>
              <w:jc w:val="both"/>
              <w:rPr>
                <w:lang w:val="nl-NL"/>
              </w:rPr>
            </w:pPr>
            <w:r w:rsidRPr="00B34E12">
              <w:rPr>
                <w:lang w:val="nl-NL"/>
              </w:rPr>
              <w:t>Binnen 15 kalenderdagen na ontvangst van de bestelbrief brengt de ontwerper een bezoek aan de volledige plaats en/of aan de gebouwen waarop de studie betrekking heeft en nodigt hij alle optredende partijen en de aanbesteder uit voor een eerste coördinatievergadering. Tijdens deze vergadering geeft de aanbesteder hem alle documenten en elementen die in zijn bezit zijn en die als basis kunnen dienen voor de uitwerking van het ontwerp. De aanbesteder zal alle opmerkingen over zijn offerte en al zijn verwachtingen kenbaar maken.</w:t>
            </w:r>
          </w:p>
          <w:p w14:paraId="14FEC25C" w14:textId="77777777" w:rsidR="006C2BB6" w:rsidRPr="00B34E12" w:rsidRDefault="006C2BB6" w:rsidP="006C2BB6">
            <w:pPr>
              <w:spacing w:after="0" w:line="240" w:lineRule="auto"/>
              <w:jc w:val="both"/>
              <w:rPr>
                <w:lang w:val="nl-NL"/>
              </w:rPr>
            </w:pPr>
            <w:r w:rsidRPr="00B34E12">
              <w:rPr>
                <w:lang w:val="nl-NL"/>
              </w:rPr>
              <w:t>Binnen 15 dagen na deze bijeenkomst stuurt de ontwerper een nota over de kwaliteit van de ontwerpdocumenten die in zijn bezit zijn. Deze nota bevat een lijst van onderzoeken, sonderingen, inventarissen, plaatsbeschrijvingen en aanvullende diagnoses die nodig zijn om de rest van de opdracht uit te voeren.</w:t>
            </w:r>
          </w:p>
          <w:p w14:paraId="0C7300B7" w14:textId="77777777" w:rsidR="006C2BB6" w:rsidRPr="00B34E12" w:rsidRDefault="006C2BB6" w:rsidP="006C2BB6">
            <w:pPr>
              <w:spacing w:after="0" w:line="240" w:lineRule="auto"/>
              <w:jc w:val="both"/>
              <w:rPr>
                <w:lang w:val="nl-NL"/>
              </w:rPr>
            </w:pPr>
            <w:r w:rsidRPr="00B34E12">
              <w:rPr>
                <w:lang w:val="nl-NL"/>
              </w:rPr>
              <w:t>De ontwerper assisteert en begeleidt de bouwheer bij de plaatsing van de opdrachten om de documenten op te stellen die nodig zijn voor de voortzetting van het project.</w:t>
            </w:r>
          </w:p>
          <w:p w14:paraId="32EF3649" w14:textId="77777777" w:rsidR="006C2BB6" w:rsidRPr="00B34E12" w:rsidRDefault="006C2BB6" w:rsidP="006C2BB6">
            <w:pPr>
              <w:spacing w:after="0" w:line="240" w:lineRule="auto"/>
              <w:jc w:val="both"/>
              <w:rPr>
                <w:lang w:val="nl-NL"/>
              </w:rPr>
            </w:pPr>
            <w:r w:rsidRPr="00B34E12">
              <w:rPr>
                <w:lang w:val="nl-NL"/>
              </w:rPr>
              <w:t>Bij de verzending van de bestelbrief nodigt de aanbesteder de opdrachtnemer uit op een eerste coördinatievergadering die binnen de 15 kalenderdagen na ontvangst van de bestelbrief in de kantoren van de OVM zal plaatsvinden. Tijdens die ontmoeting overhandigt de aanbesteder hem alle in zijn bezit verkerende documenten en elementen die als basis kunnen dienen voor de uitwerking van het ontwerp. De aanbesteder deelt de opdrachtnemer al zijn opmerkingen over diens offerte mee en wijst hem op al zijn verwachtingen.</w:t>
            </w:r>
          </w:p>
          <w:p w14:paraId="1E026524" w14:textId="77777777" w:rsidR="006C2BB6" w:rsidRPr="00B34E12" w:rsidRDefault="006C2BB6" w:rsidP="006C2BB6">
            <w:pPr>
              <w:spacing w:after="0" w:line="240" w:lineRule="auto"/>
              <w:jc w:val="both"/>
              <w:rPr>
                <w:lang w:val="nl-NL"/>
              </w:rPr>
            </w:pPr>
            <w:r w:rsidRPr="00B34E12">
              <w:rPr>
                <w:lang w:val="nl-NL"/>
              </w:rPr>
              <w:t>Eveneens binnen de [15] kalenderdagen na ontvangst van de bestelbrief brengt de ontwerper een bezoek aan de volledige plaats en/of aan de gebouwen waarop de studie betrekking heeft en nodigt hij alle optredende partijen en de aanbesteder uit voor een eerste coördinatievergadering. Tijdens deze vergadering geeft de aanbesteder hem alle documenten en elementen die in zijn bezit zijn en die als basis kunnen dienen voor de uitwerking van het ontwerp. De aanbesteder zal alle opmerkingen over zijn offerte en al zijn verwachtingen kenbaar maken.</w:t>
            </w:r>
          </w:p>
          <w:p w14:paraId="5CEEC8A7" w14:textId="77777777" w:rsidR="006C2BB6" w:rsidRPr="00B34E12" w:rsidRDefault="006C2BB6" w:rsidP="006C2BB6">
            <w:pPr>
              <w:spacing w:after="0" w:line="240" w:lineRule="auto"/>
              <w:jc w:val="both"/>
              <w:rPr>
                <w:lang w:val="nl-NL"/>
              </w:rPr>
            </w:pPr>
            <w:r w:rsidRPr="00B34E12">
              <w:rPr>
                <w:lang w:val="nl-NL"/>
              </w:rPr>
              <w:t>Binnen 15 dagen na de eerste coördinatievergadering stuurt de ontwerper een nota over de kwaliteit van de ontwerpdocumenten die in zijn bezit zijn. Deze nota bevat een lijst van onderzoeken, sonderingen, inventarissen, plaatsbeschrijvingen en aanvullende diagnoses die nodig zijn om de rest van de opdracht uit te voeren.</w:t>
            </w:r>
          </w:p>
          <w:p w14:paraId="4F949FCF" w14:textId="77777777" w:rsidR="006C2BB6" w:rsidRPr="00B34E12" w:rsidRDefault="006C2BB6" w:rsidP="006C2BB6">
            <w:pPr>
              <w:spacing w:after="0" w:line="240" w:lineRule="auto"/>
              <w:jc w:val="both"/>
              <w:rPr>
                <w:lang w:val="nl-NL"/>
              </w:rPr>
            </w:pPr>
            <w:r w:rsidRPr="00B34E12">
              <w:rPr>
                <w:lang w:val="nl-NL"/>
              </w:rPr>
              <w:t>De ontwerper assisteert en begeleidt de bouwheer bij de plaatsing van de opdrachten om de documenten op te stellen die nodig zijn voor de voortzetting van het project.</w:t>
            </w:r>
          </w:p>
          <w:p w14:paraId="33F22782" w14:textId="5CB51542" w:rsidR="006C2BB6" w:rsidRDefault="006C2BB6" w:rsidP="006C2BB6">
            <w:pPr>
              <w:jc w:val="both"/>
              <w:rPr>
                <w:lang w:val="nl-NL"/>
              </w:rPr>
            </w:pPr>
            <w:r w:rsidRPr="00B34E12">
              <w:rPr>
                <w:lang w:val="nl-NL"/>
              </w:rPr>
              <w:t>De ontwerper zal de resultaten van deze aanvullende studies controleren en interpreteren. In alle gevallen moeten de resultaten beschikbaar zijn en naar de aanbesteder worden gestuurd voordat het voorontwerp wordt ingediend.</w:t>
            </w:r>
            <w:r>
              <w:rPr>
                <w:lang w:val="nl-NL"/>
              </w:rPr>
              <w:t>”</w:t>
            </w:r>
          </w:p>
          <w:p w14:paraId="6FDD86F6" w14:textId="77777777" w:rsidR="006C2BB6" w:rsidRDefault="006C2BB6" w:rsidP="006C2BB6">
            <w:pPr>
              <w:jc w:val="both"/>
              <w:rPr>
                <w:lang w:val="nl-NL"/>
              </w:rPr>
            </w:pPr>
          </w:p>
          <w:p w14:paraId="14824120" w14:textId="4C77FD4D" w:rsidR="006C2BB6" w:rsidRPr="00B34E12" w:rsidRDefault="006C2BB6" w:rsidP="006C2BB6">
            <w:pPr>
              <w:jc w:val="both"/>
              <w:rPr>
                <w:lang w:val="nl-NL"/>
              </w:rPr>
            </w:pPr>
          </w:p>
        </w:tc>
      </w:tr>
    </w:tbl>
    <w:p w14:paraId="48E70529" w14:textId="77777777" w:rsidR="00DE3462" w:rsidRPr="00B34E12" w:rsidRDefault="00DE3462" w:rsidP="00DE3462">
      <w:pPr>
        <w:jc w:val="center"/>
        <w:rPr>
          <w:sz w:val="24"/>
          <w:szCs w:val="24"/>
          <w:lang w:val="nl-NL"/>
        </w:rPr>
      </w:pPr>
    </w:p>
    <w:p w14:paraId="179444DB" w14:textId="77777777" w:rsidR="007953A5" w:rsidRPr="00B34E12" w:rsidRDefault="007953A5" w:rsidP="00DE3462">
      <w:pPr>
        <w:jc w:val="center"/>
        <w:rPr>
          <w:sz w:val="24"/>
          <w:szCs w:val="24"/>
          <w:lang w:val="nl-NL"/>
        </w:rPr>
      </w:pPr>
    </w:p>
    <w:p w14:paraId="70DC0C7C" w14:textId="77777777" w:rsidR="007953A5" w:rsidRPr="00B34E12" w:rsidRDefault="007953A5" w:rsidP="00DE3462">
      <w:pPr>
        <w:jc w:val="center"/>
        <w:rPr>
          <w:sz w:val="24"/>
          <w:szCs w:val="24"/>
          <w:lang w:val="nl-NL"/>
        </w:rPr>
      </w:pPr>
    </w:p>
    <w:p w14:paraId="3366F52D" w14:textId="77777777" w:rsidR="00B455B3" w:rsidRPr="00B34E12" w:rsidRDefault="00B455B3" w:rsidP="00DE3462">
      <w:pPr>
        <w:jc w:val="center"/>
        <w:rPr>
          <w:sz w:val="24"/>
          <w:szCs w:val="24"/>
          <w:lang w:val="nl-NL"/>
        </w:rPr>
      </w:pPr>
    </w:p>
    <w:p w14:paraId="00DEB61E" w14:textId="77777777" w:rsidR="00B455B3" w:rsidRPr="00B34E12" w:rsidRDefault="00B455B3" w:rsidP="00DE3462">
      <w:pPr>
        <w:jc w:val="center"/>
        <w:rPr>
          <w:sz w:val="24"/>
          <w:szCs w:val="24"/>
          <w:lang w:val="nl-NL"/>
        </w:rPr>
      </w:pPr>
    </w:p>
    <w:sectPr w:rsidR="00B455B3" w:rsidRPr="00B34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B1F3D"/>
    <w:multiLevelType w:val="hybridMultilevel"/>
    <w:tmpl w:val="DB7A936E"/>
    <w:lvl w:ilvl="0" w:tplc="6ADE250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9AA465C"/>
    <w:multiLevelType w:val="hybridMultilevel"/>
    <w:tmpl w:val="F27C2CD2"/>
    <w:lvl w:ilvl="0" w:tplc="080C0001">
      <w:start w:val="1"/>
      <w:numFmt w:val="bullet"/>
      <w:lvlText w:val=""/>
      <w:lvlJc w:val="left"/>
      <w:pPr>
        <w:ind w:left="717" w:hanging="360"/>
      </w:pPr>
      <w:rPr>
        <w:rFonts w:ascii="Symbol" w:hAnsi="Symbol" w:hint="default"/>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 w15:restartNumberingAfterBreak="0">
    <w:nsid w:val="4D422ABA"/>
    <w:multiLevelType w:val="hybridMultilevel"/>
    <w:tmpl w:val="CD26C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4825145">
    <w:abstractNumId w:val="0"/>
  </w:num>
  <w:num w:numId="2" w16cid:durableId="97726925">
    <w:abstractNumId w:val="1"/>
  </w:num>
  <w:num w:numId="3" w16cid:durableId="1740327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60"/>
    <w:rsid w:val="000207C8"/>
    <w:rsid w:val="002346A0"/>
    <w:rsid w:val="00514C97"/>
    <w:rsid w:val="00624948"/>
    <w:rsid w:val="00646EF5"/>
    <w:rsid w:val="00681E9F"/>
    <w:rsid w:val="006C1B11"/>
    <w:rsid w:val="006C2BB6"/>
    <w:rsid w:val="00736DA0"/>
    <w:rsid w:val="007953A5"/>
    <w:rsid w:val="00826657"/>
    <w:rsid w:val="00A12A54"/>
    <w:rsid w:val="00B03260"/>
    <w:rsid w:val="00B34E12"/>
    <w:rsid w:val="00B455B3"/>
    <w:rsid w:val="00DE3462"/>
    <w:rsid w:val="00E83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6E48"/>
  <w15:chartTrackingRefBased/>
  <w15:docId w15:val="{4C34B4A2-2498-46C8-BCEC-A8D65213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BB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E3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DE3462"/>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rsid w:val="00DE3462"/>
    <w:rPr>
      <w:rFonts w:ascii="Arial" w:eastAsia="Times New Roman" w:hAnsi="Arial" w:cs="Arial"/>
      <w:sz w:val="20"/>
      <w:szCs w:val="20"/>
      <w:lang w:eastAsia="fr-FR"/>
    </w:rPr>
  </w:style>
  <w:style w:type="character" w:styleId="Marquedecommentaire">
    <w:name w:val="annotation reference"/>
    <w:uiPriority w:val="99"/>
    <w:unhideWhenUsed/>
    <w:qFormat/>
    <w:rsid w:val="00DE3462"/>
    <w:rPr>
      <w:sz w:val="16"/>
      <w:szCs w:val="16"/>
    </w:rPr>
  </w:style>
  <w:style w:type="paragraph" w:styleId="Paragraphedeliste">
    <w:name w:val="List Paragraph"/>
    <w:basedOn w:val="Normal"/>
    <w:uiPriority w:val="34"/>
    <w:qFormat/>
    <w:rsid w:val="00514C97"/>
    <w:pPr>
      <w:ind w:left="720"/>
      <w:contextualSpacing/>
    </w:pPr>
  </w:style>
  <w:style w:type="table" w:customStyle="1" w:styleId="Grilledutableau1">
    <w:name w:val="Grille du tableau1"/>
    <w:basedOn w:val="TableauNormal"/>
    <w:next w:val="Grilledutableau"/>
    <w:rsid w:val="00681E9F"/>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93A7-9C65-440E-8CA0-7BB00E42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2724</Words>
  <Characters>14986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Victoria DURAY</cp:lastModifiedBy>
  <cp:revision>6</cp:revision>
  <dcterms:created xsi:type="dcterms:W3CDTF">2023-06-06T11:36:00Z</dcterms:created>
  <dcterms:modified xsi:type="dcterms:W3CDTF">2023-06-09T07:44:00Z</dcterms:modified>
</cp:coreProperties>
</file>